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69225" cy="10055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69225" cy="10055225"/>
                    </a:xfrm>
                    <a:prstGeom prst="rect">
                      <a:avLst/>
                    </a:prstGeom>
                    <a:noFill/>
                  </pic:spPr>
                </pic:pic>
              </a:graphicData>
            </a:graphic>
          </wp:anchor>
        </w:drawing>
      </w:r>
    </w:p>
    <w:p>
      <w:pPr>
        <w:sectPr>
          <w:pgSz w:w="12240" w:h="15835" w:orient="portrait"/>
          <w:cols w:equalWidth="1" w:num="1" w:space="0"/>
          <w:pgMar w:left="1440" w:top="1440" w:right="1440" w:bottom="875" w:gutter="0" w:footer="0" w:header="0"/>
        </w:sectPr>
      </w:pPr>
    </w:p>
    <w:bookmarkStart w:id="1" w:name="page2"/>
    <w:bookmarkEnd w:id="1"/>
    <w:p>
      <w:pPr>
        <w:ind w:left="8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547370</wp:posOffset>
                </wp:positionH>
                <wp:positionV relativeFrom="paragraph">
                  <wp:posOffset>314325</wp:posOffset>
                </wp:positionV>
                <wp:extent cx="65055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pt,24.75pt" to="555.35pt,24.75pt" o:allowincell="f" strokecolor="#000000" strokeweight="1pt"/>
            </w:pict>
          </mc:Fallback>
        </mc:AlternateContent>
      </w: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547370</wp:posOffset>
                </wp:positionH>
                <wp:positionV relativeFrom="paragraph">
                  <wp:posOffset>-246380</wp:posOffset>
                </wp:positionV>
                <wp:extent cx="65055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pt,-19.3999pt" to="555.35pt,-19.3999pt" o:allowincell="f" strokecolor="#000000" strokeweight="1pt"/>
            </w:pict>
          </mc:Fallback>
        </mc:AlternateContent>
      </w:r>
    </w:p>
    <w:p>
      <w:pPr>
        <w:spacing w:after="0" w:line="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8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1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45" w:lineRule="exact"/>
        <w:rPr>
          <w:sz w:val="20"/>
          <w:szCs w:val="20"/>
          <w:color w:val="auto"/>
        </w:rPr>
      </w:pPr>
    </w:p>
    <w:p>
      <w:pPr>
        <w:ind w:left="480" w:right="1620" w:hanging="343"/>
        <w:spacing w:after="0" w:line="416" w:lineRule="auto"/>
        <w:tabs>
          <w:tab w:leader="none" w:pos="480" w:val="left"/>
        </w:tabs>
        <w:numPr>
          <w:ilvl w:val="0"/>
          <w:numId w:val="1"/>
        </w:numPr>
        <w:rPr>
          <w:rFonts w:ascii="Arial" w:cs="Arial" w:eastAsia="Arial" w:hAnsi="Arial"/>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 For the fiscal year ended December 31, 2025</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92" w:lineRule="exact"/>
        <w:rPr>
          <w:sz w:val="20"/>
          <w:szCs w:val="20"/>
          <w:color w:val="auto"/>
        </w:rPr>
      </w:pPr>
    </w:p>
    <w:p>
      <w:pPr>
        <w:ind w:left="480" w:right="1200" w:hanging="359"/>
        <w:spacing w:after="0" w:line="452" w:lineRule="auto"/>
        <w:tabs>
          <w:tab w:leader="none" w:pos="480" w:val="left"/>
        </w:tabs>
        <w:numPr>
          <w:ilvl w:val="0"/>
          <w:numId w:val="2"/>
        </w:numPr>
        <w:rPr>
          <w:rFonts w:ascii="Arial" w:cs="Arial" w:eastAsia="Arial" w:hAnsi="Arial"/>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____________ to ____________</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Commission File Number: 001-00395</w:t>
      </w:r>
    </w:p>
    <w:p>
      <w:pPr>
        <w:spacing w:after="0" w:line="1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NCR VOYIX CORPORATION</w:t>
      </w:r>
    </w:p>
    <w:p>
      <w:pPr>
        <w:spacing w:after="0" w:line="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317" w:lineRule="exact"/>
        <w:rPr>
          <w:sz w:val="20"/>
          <w:szCs w:val="20"/>
          <w:color w:val="auto"/>
        </w:rPr>
      </w:pPr>
    </w:p>
    <w:tbl>
      <w:tblPr>
        <w:tblLayout w:type="fixed"/>
        <w:tblInd w:w="2180" w:type="dxa"/>
        <w:tblCellMar>
          <w:top w:w="0" w:type="dxa"/>
          <w:left w:w="0" w:type="dxa"/>
          <w:bottom w:w="0" w:type="dxa"/>
          <w:right w:w="0" w:type="dxa"/>
        </w:tblCellMar>
      </w:tblPr>
      <w:tr>
        <w:trPr>
          <w:trHeight w:val="260"/>
        </w:trPr>
        <w:tc>
          <w:tcPr>
            <w:tcW w:w="2360" w:type="dxa"/>
            <w:vAlign w:val="bottom"/>
          </w:tcPr>
          <w:p>
            <w:pPr>
              <w:spacing w:after="0"/>
              <w:rPr>
                <w:sz w:val="22"/>
                <w:szCs w:val="22"/>
                <w:color w:val="auto"/>
              </w:rPr>
            </w:pPr>
          </w:p>
        </w:tc>
        <w:tc>
          <w:tcPr>
            <w:tcW w:w="5000" w:type="dxa"/>
            <w:vAlign w:val="bottom"/>
          </w:tcPr>
          <w:p>
            <w:pPr>
              <w:jc w:val="right"/>
              <w:ind w:right="2270"/>
              <w:spacing w:after="0"/>
              <w:rPr>
                <w:sz w:val="20"/>
                <w:szCs w:val="20"/>
                <w:color w:val="auto"/>
              </w:rPr>
            </w:pPr>
            <w:r>
              <w:rPr>
                <w:rFonts w:ascii="Times New Roman" w:cs="Times New Roman" w:eastAsia="Times New Roman" w:hAnsi="Times New Roman"/>
                <w:sz w:val="20"/>
                <w:szCs w:val="20"/>
                <w:color w:val="auto"/>
              </w:rPr>
              <w:t>________________________</w:t>
            </w:r>
          </w:p>
        </w:tc>
      </w:tr>
      <w:tr>
        <w:trPr>
          <w:trHeight w:val="732"/>
        </w:trPr>
        <w:tc>
          <w:tcPr>
            <w:tcW w:w="2360" w:type="dxa"/>
            <w:vAlign w:val="bottom"/>
          </w:tcPr>
          <w:p>
            <w:pPr>
              <w:jc w:val="center"/>
              <w:ind w:right="173"/>
              <w:spacing w:after="0"/>
              <w:rPr>
                <w:sz w:val="20"/>
                <w:szCs w:val="20"/>
                <w:color w:val="auto"/>
              </w:rPr>
            </w:pPr>
            <w:r>
              <w:rPr>
                <w:rFonts w:ascii="Times New Roman" w:cs="Times New Roman" w:eastAsia="Times New Roman" w:hAnsi="Times New Roman"/>
                <w:sz w:val="20"/>
                <w:szCs w:val="20"/>
                <w:b w:val="1"/>
                <w:bCs w:val="1"/>
                <w:color w:val="auto"/>
              </w:rPr>
              <w:t>Maryland</w:t>
            </w:r>
          </w:p>
        </w:tc>
        <w:tc>
          <w:tcPr>
            <w:tcW w:w="5000" w:type="dxa"/>
            <w:vAlign w:val="bottom"/>
          </w:tcPr>
          <w:p>
            <w:pPr>
              <w:jc w:val="center"/>
              <w:ind w:left="3670"/>
              <w:spacing w:after="0"/>
              <w:rPr>
                <w:sz w:val="20"/>
                <w:szCs w:val="20"/>
                <w:color w:val="auto"/>
              </w:rPr>
            </w:pPr>
            <w:r>
              <w:rPr>
                <w:rFonts w:ascii="Times New Roman" w:cs="Times New Roman" w:eastAsia="Times New Roman" w:hAnsi="Times New Roman"/>
                <w:sz w:val="20"/>
                <w:szCs w:val="20"/>
                <w:b w:val="1"/>
                <w:bCs w:val="1"/>
                <w:color w:val="auto"/>
                <w:w w:val="99"/>
              </w:rPr>
              <w:t>31-0387920</w:t>
            </w:r>
          </w:p>
        </w:tc>
      </w:tr>
      <w:tr>
        <w:trPr>
          <w:trHeight w:val="165"/>
        </w:trPr>
        <w:tc>
          <w:tcPr>
            <w:tcW w:w="2360" w:type="dxa"/>
            <w:vAlign w:val="bottom"/>
          </w:tcPr>
          <w:p>
            <w:pPr>
              <w:jc w:val="center"/>
              <w:ind w:right="153"/>
              <w:spacing w:after="0" w:line="165"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5000" w:type="dxa"/>
            <w:vAlign w:val="bottom"/>
          </w:tcPr>
          <w:p>
            <w:pPr>
              <w:jc w:val="center"/>
              <w:ind w:left="3670"/>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1"/>
        </w:trPr>
        <w:tc>
          <w:tcPr>
            <w:tcW w:w="23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5000" w:type="dxa"/>
            <w:vAlign w:val="bottom"/>
          </w:tcPr>
          <w:p>
            <w:pPr>
              <w:jc w:val="center"/>
              <w:ind w:left="3670"/>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bl>
    <w:p>
      <w:pPr>
        <w:spacing w:after="0" w:line="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864 Spring Street NW</w:t>
      </w:r>
    </w:p>
    <w:p>
      <w:pPr>
        <w:spacing w:after="0" w:line="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Atlanta, GA 30308</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(Zip Code)</w:t>
      </w:r>
    </w:p>
    <w:p>
      <w:pPr>
        <w:spacing w:after="0" w:line="16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(800) 225-5627</w:t>
      </w:r>
    </w:p>
    <w:p>
      <w:pPr>
        <w:spacing w:after="0" w:line="1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ectPr>
          <w:pgSz w:w="12240" w:h="15840" w:orient="portrait"/>
          <w:cols w:equalWidth="0" w:num="1">
            <w:col w:w="11860"/>
          </w:cols>
          <w:pgMar w:left="180" w:top="220" w:right="200" w:bottom="234" w:gutter="0" w:footer="0" w:header="0"/>
        </w:sectPr>
      </w:pPr>
    </w:p>
    <w:p>
      <w:pPr>
        <w:spacing w:after="0" w:line="185"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20"/>
          <w:szCs w:val="20"/>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Trading Symbol(s)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9"/>
          <w:szCs w:val="19"/>
          <w:b w:val="1"/>
          <w:bCs w:val="1"/>
          <w:color w:val="auto"/>
        </w:rPr>
        <w:t>Name of each exchange on which registered</w:t>
      </w:r>
    </w:p>
    <w:p>
      <w:pPr>
        <w:spacing w:after="0" w:line="162" w:lineRule="exact"/>
        <w:rPr>
          <w:sz w:val="20"/>
          <w:szCs w:val="20"/>
          <w:color w:val="auto"/>
        </w:rPr>
      </w:pPr>
    </w:p>
    <w:p>
      <w:pPr>
        <w:sectPr>
          <w:pgSz w:w="12240" w:h="15840" w:orient="portrait"/>
          <w:cols w:equalWidth="0" w:num="3">
            <w:col w:w="4560" w:space="720"/>
            <w:col w:w="1600" w:space="620"/>
            <w:col w:w="4360"/>
          </w:cols>
          <w:pgMar w:left="180" w:top="220" w:right="200" w:bottom="234" w:gutter="0" w:footer="0" w:header="0"/>
          <w:type w:val="continuous"/>
        </w:sectPr>
      </w:pPr>
    </w:p>
    <w:p>
      <w:pPr>
        <w:ind w:left="1020"/>
        <w:spacing w:after="0"/>
        <w:rPr>
          <w:sz w:val="20"/>
          <w:szCs w:val="20"/>
          <w:color w:val="auto"/>
        </w:rPr>
      </w:pPr>
      <w:r>
        <w:rPr>
          <w:rFonts w:ascii="Times New Roman" w:cs="Times New Roman" w:eastAsia="Times New Roman" w:hAnsi="Times New Roman"/>
          <w:sz w:val="19"/>
          <w:szCs w:val="19"/>
          <w:color w:val="auto"/>
        </w:rPr>
        <w:t>Common Stock, par value $0.01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VYX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New York Stock Exchange</w:t>
      </w:r>
    </w:p>
    <w:p>
      <w:pPr>
        <w:spacing w:after="0" w:line="158" w:lineRule="exact"/>
        <w:rPr>
          <w:sz w:val="20"/>
          <w:szCs w:val="20"/>
          <w:color w:val="auto"/>
        </w:rPr>
      </w:pPr>
    </w:p>
    <w:p>
      <w:pPr>
        <w:sectPr>
          <w:pgSz w:w="12240" w:h="15840" w:orient="portrait"/>
          <w:cols w:equalWidth="0" w:num="3">
            <w:col w:w="5140" w:space="720"/>
            <w:col w:w="1680" w:space="720"/>
            <w:col w:w="3600"/>
          </w:cols>
          <w:pgMar w:left="180" w:top="220" w:right="200" w:bottom="234" w:gutter="0" w:footer="0" w:header="0"/>
          <w:type w:val="continuous"/>
        </w:sectPr>
      </w:pPr>
    </w:p>
    <w:p>
      <w:pPr>
        <w:ind w:left="3280"/>
        <w:spacing w:after="0"/>
        <w:rPr>
          <w:sz w:val="20"/>
          <w:szCs w:val="20"/>
          <w:color w:val="auto"/>
        </w:rPr>
      </w:pPr>
      <w:r>
        <w:rPr>
          <w:rFonts w:ascii="Times New Roman" w:cs="Times New Roman" w:eastAsia="Times New Roman" w:hAnsi="Times New Roman"/>
          <w:sz w:val="19"/>
          <w:szCs w:val="19"/>
          <w:b w:val="1"/>
          <w:bCs w:val="1"/>
          <w:color w:val="auto"/>
        </w:rPr>
        <w:t>Securities registered pursuant to Section 12(g) of the Act:</w:t>
      </w:r>
    </w:p>
    <w:p>
      <w:pPr>
        <w:spacing w:after="0" w:line="4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None</w:t>
      </w:r>
    </w:p>
    <w:p>
      <w:pPr>
        <w:spacing w:after="0" w:line="445" w:lineRule="exact"/>
        <w:rPr>
          <w:sz w:val="20"/>
          <w:szCs w:val="20"/>
          <w:color w:val="auto"/>
        </w:rPr>
      </w:pPr>
    </w:p>
    <w:p>
      <w:pPr>
        <w:sectPr>
          <w:pgSz w:w="12240" w:h="15840" w:orient="portrait"/>
          <w:cols w:equalWidth="0" w:num="2">
            <w:col w:w="8160" w:space="100"/>
            <w:col w:w="3600"/>
          </w:cols>
          <w:pgMar w:left="180" w:top="220" w:right="200" w:bottom="234" w:gutter="0" w:footer="0" w:header="0"/>
          <w:type w:val="continuous"/>
        </w:sectPr>
      </w:pPr>
    </w:p>
    <w:p>
      <w:pPr>
        <w:ind w:left="720"/>
        <w:spacing w:after="0"/>
        <w:rPr>
          <w:sz w:val="20"/>
          <w:szCs w:val="20"/>
          <w:color w:val="auto"/>
        </w:rPr>
      </w:pPr>
      <w:r>
        <w:rPr>
          <w:rFonts w:ascii="Times New Roman" w:cs="Times New Roman" w:eastAsia="Times New Roman" w:hAnsi="Times New Roman"/>
          <w:sz w:val="20"/>
          <w:szCs w:val="20"/>
          <w:color w:val="auto"/>
        </w:rPr>
        <w:t>Indicate by check mark if the registrant is a well-known seasoned issuer, as defined in Rule 405 of the Securities Act. 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þ</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 xml:space="preserve">No </w:t>
      </w:r>
      <w:r>
        <w:rPr>
          <w:rFonts w:ascii="Arial" w:cs="Arial" w:eastAsia="Arial" w:hAnsi="Arial"/>
          <w:sz w:val="20"/>
          <w:szCs w:val="20"/>
          <w:b w:val="1"/>
          <w:bCs w:val="1"/>
          <w:color w:val="auto"/>
        </w:rPr>
        <w:t>o</w:t>
      </w:r>
    </w:p>
    <w:p>
      <w:pPr>
        <w:spacing w:after="0" w:line="189" w:lineRule="exact"/>
        <w:rPr>
          <w:sz w:val="20"/>
          <w:szCs w:val="20"/>
          <w:color w:val="auto"/>
        </w:rPr>
      </w:pPr>
    </w:p>
    <w:p>
      <w:pPr>
        <w:sectPr>
          <w:pgSz w:w="12240" w:h="15840" w:orient="portrait"/>
          <w:cols w:equalWidth="0" w:num="3">
            <w:col w:w="10520" w:space="100"/>
            <w:col w:w="180" w:space="200"/>
            <w:col w:w="860"/>
          </w:cols>
          <w:pgMar w:left="180" w:top="220" w:right="200" w:bottom="234" w:gutter="0" w:footer="0" w:header="0"/>
          <w:type w:val="continuous"/>
        </w:sectPr>
      </w:pPr>
    </w:p>
    <w:p>
      <w:pPr>
        <w:ind w:left="720"/>
        <w:spacing w:after="0"/>
        <w:rPr>
          <w:sz w:val="20"/>
          <w:szCs w:val="20"/>
          <w:color w:val="auto"/>
        </w:rPr>
      </w:pPr>
      <w:r>
        <w:rPr>
          <w:rFonts w:ascii="Times New Roman" w:cs="Times New Roman" w:eastAsia="Times New Roman" w:hAnsi="Times New Roman"/>
          <w:sz w:val="19"/>
          <w:szCs w:val="19"/>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þ</w:t>
      </w:r>
    </w:p>
    <w:p>
      <w:pPr>
        <w:spacing w:after="0" w:line="186" w:lineRule="exact"/>
        <w:rPr>
          <w:sz w:val="20"/>
          <w:szCs w:val="20"/>
          <w:color w:val="auto"/>
        </w:rPr>
      </w:pPr>
    </w:p>
    <w:p>
      <w:pPr>
        <w:sectPr>
          <w:pgSz w:w="12240" w:h="15840" w:orient="portrait"/>
          <w:cols w:equalWidth="0" w:num="5">
            <w:col w:w="10280" w:space="160"/>
            <w:col w:w="300" w:space="100"/>
            <w:col w:w="180" w:space="200"/>
            <w:col w:w="240" w:space="120"/>
            <w:col w:w="280"/>
          </w:cols>
          <w:pgMar w:left="180" w:top="220" w:right="200" w:bottom="234" w:gutter="0" w:footer="0" w:header="0"/>
          <w:type w:val="continuous"/>
        </w:sectPr>
      </w:pPr>
    </w:p>
    <w:p>
      <w:pPr>
        <w:jc w:val="both"/>
        <w:ind w:firstLine="720"/>
        <w:spacing w:after="0" w:line="273"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0"/>
          <w:szCs w:val="20"/>
          <w:b w:val="1"/>
          <w:bCs w:val="1"/>
          <w:color w:val="auto"/>
        </w:rPr>
        <w:t>þ</w:t>
      </w:r>
      <w:r>
        <w:rPr>
          <w:rFonts w:ascii="Times New Roman" w:cs="Times New Roman" w:eastAsia="Times New Roman" w:hAnsi="Times New Roman"/>
          <w:sz w:val="20"/>
          <w:szCs w:val="20"/>
          <w:color w:val="auto"/>
        </w:rPr>
        <w:t xml:space="preserve"> No </w:t>
      </w:r>
      <w:r>
        <w:rPr>
          <w:rFonts w:ascii="Arial" w:cs="Arial" w:eastAsia="Arial" w:hAnsi="Arial"/>
          <w:sz w:val="20"/>
          <w:szCs w:val="20"/>
          <w:b w:val="1"/>
          <w:bCs w:val="1"/>
          <w:color w:val="auto"/>
        </w:rPr>
        <w:t>o</w:t>
      </w:r>
    </w:p>
    <w:p>
      <w:pPr>
        <w:spacing w:after="0" w:line="114" w:lineRule="exact"/>
        <w:rPr>
          <w:sz w:val="20"/>
          <w:szCs w:val="20"/>
          <w:color w:val="auto"/>
        </w:rPr>
      </w:pPr>
    </w:p>
    <w:p>
      <w:pPr>
        <w:jc w:val="both"/>
        <w:ind w:firstLine="720"/>
        <w:spacing w:after="0" w:line="273"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20"/>
          <w:szCs w:val="20"/>
          <w:b w:val="1"/>
          <w:bCs w:val="1"/>
          <w:color w:val="auto"/>
        </w:rPr>
        <w:t>þ</w:t>
      </w:r>
      <w:r>
        <w:rPr>
          <w:rFonts w:ascii="Times New Roman" w:cs="Times New Roman" w:eastAsia="Times New Roman" w:hAnsi="Times New Roman"/>
          <w:sz w:val="20"/>
          <w:szCs w:val="20"/>
          <w:color w:val="auto"/>
        </w:rPr>
        <w:t xml:space="preserve"> No </w:t>
      </w:r>
      <w:r>
        <w:rPr>
          <w:rFonts w:ascii="Arial" w:cs="Arial" w:eastAsia="Arial" w:hAnsi="Arial"/>
          <w:sz w:val="20"/>
          <w:szCs w:val="20"/>
          <w:b w:val="1"/>
          <w:bCs w:val="1"/>
          <w:color w:val="auto"/>
        </w:rPr>
        <w:t>o</w:t>
      </w:r>
    </w:p>
    <w:p>
      <w:pPr>
        <w:sectPr>
          <w:pgSz w:w="12240" w:h="15840" w:orient="portrait"/>
          <w:cols w:equalWidth="0" w:num="1">
            <w:col w:w="11860"/>
          </w:cols>
          <w:pgMar w:left="180" w:top="220" w:right="200" w:bottom="234" w:gutter="0" w:footer="0" w:header="0"/>
          <w:type w:val="continuous"/>
        </w:sectPr>
      </w:pPr>
    </w:p>
    <w:bookmarkStart w:id="2" w:name="page3"/>
    <w:bookmarkEnd w:id="2"/>
    <w:p>
      <w:pPr>
        <w:ind w:left="8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300" w:firstLine="72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0" w:lineRule="exact"/>
        <w:rPr>
          <w:sz w:val="20"/>
          <w:szCs w:val="20"/>
          <w:color w:val="auto"/>
        </w:rPr>
      </w:pPr>
    </w:p>
    <w:tbl>
      <w:tblPr>
        <w:tblLayout w:type="fixed"/>
        <w:tblInd w:w="1460" w:type="dxa"/>
        <w:tblCellMar>
          <w:top w:w="0" w:type="dxa"/>
          <w:left w:w="0" w:type="dxa"/>
          <w:bottom w:w="0" w:type="dxa"/>
          <w:right w:w="0" w:type="dxa"/>
        </w:tblCellMar>
      </w:tblPr>
      <w:tr>
        <w:trPr>
          <w:trHeight w:val="276"/>
        </w:trPr>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Large accelerated filer</w:t>
            </w:r>
          </w:p>
        </w:tc>
        <w:tc>
          <w:tcPr>
            <w:tcW w:w="2500" w:type="dxa"/>
            <w:vAlign w:val="bottom"/>
          </w:tcPr>
          <w:p>
            <w:pPr>
              <w:ind w:left="40"/>
              <w:spacing w:after="0"/>
              <w:rPr>
                <w:sz w:val="20"/>
                <w:szCs w:val="20"/>
                <w:color w:val="auto"/>
              </w:rPr>
            </w:pPr>
            <w:r>
              <w:rPr>
                <w:rFonts w:ascii="Arial" w:cs="Arial" w:eastAsia="Arial" w:hAnsi="Arial"/>
                <w:sz w:val="20"/>
                <w:szCs w:val="20"/>
                <w:b w:val="1"/>
                <w:bCs w:val="1"/>
                <w:color w:val="auto"/>
              </w:rPr>
              <w:t>þ</w:t>
            </w:r>
          </w:p>
        </w:tc>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Accelerated filer</w:t>
            </w:r>
          </w:p>
        </w:tc>
        <w:tc>
          <w:tcPr>
            <w:tcW w:w="240" w:type="dxa"/>
            <w:vAlign w:val="bottom"/>
          </w:tcPr>
          <w:p>
            <w:pPr>
              <w:ind w:left="60"/>
              <w:spacing w:after="0"/>
              <w:rPr>
                <w:sz w:val="20"/>
                <w:szCs w:val="20"/>
                <w:color w:val="auto"/>
              </w:rPr>
            </w:pPr>
            <w:r>
              <w:rPr>
                <w:rFonts w:ascii="Arial" w:cs="Arial" w:eastAsia="Arial" w:hAnsi="Arial"/>
                <w:sz w:val="20"/>
                <w:szCs w:val="20"/>
                <w:b w:val="1"/>
                <w:bCs w:val="1"/>
                <w:color w:val="auto"/>
              </w:rPr>
              <w:t>o</w:t>
            </w:r>
          </w:p>
        </w:tc>
      </w:tr>
      <w:tr>
        <w:trPr>
          <w:trHeight w:val="300"/>
        </w:trPr>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Non-accelerated filer</w:t>
            </w:r>
          </w:p>
        </w:tc>
        <w:tc>
          <w:tcPr>
            <w:tcW w:w="2500" w:type="dxa"/>
            <w:vAlign w:val="bottom"/>
          </w:tcPr>
          <w:p>
            <w:pPr>
              <w:ind w:left="40"/>
              <w:spacing w:after="0"/>
              <w:rPr>
                <w:sz w:val="20"/>
                <w:szCs w:val="20"/>
                <w:color w:val="auto"/>
              </w:rPr>
            </w:pPr>
            <w:r>
              <w:rPr>
                <w:rFonts w:ascii="Arial" w:cs="Arial" w:eastAsia="Arial" w:hAnsi="Arial"/>
                <w:sz w:val="20"/>
                <w:szCs w:val="20"/>
                <w:b w:val="1"/>
                <w:bCs w:val="1"/>
                <w:color w:val="auto"/>
              </w:rPr>
              <w:t>o</w:t>
            </w:r>
          </w:p>
        </w:tc>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Smaller reporting company</w:t>
            </w:r>
          </w:p>
        </w:tc>
        <w:tc>
          <w:tcPr>
            <w:tcW w:w="240" w:type="dxa"/>
            <w:vAlign w:val="bottom"/>
          </w:tcPr>
          <w:p>
            <w:pPr>
              <w:ind w:left="60"/>
              <w:spacing w:after="0"/>
              <w:rPr>
                <w:sz w:val="20"/>
                <w:szCs w:val="20"/>
                <w:color w:val="auto"/>
              </w:rPr>
            </w:pPr>
            <w:r>
              <w:rPr>
                <w:rFonts w:ascii="Arial" w:cs="Arial" w:eastAsia="Arial" w:hAnsi="Arial"/>
                <w:sz w:val="20"/>
                <w:szCs w:val="20"/>
                <w:b w:val="1"/>
                <w:bCs w:val="1"/>
                <w:color w:val="auto"/>
              </w:rPr>
              <w:t>o</w:t>
            </w:r>
          </w:p>
        </w:tc>
      </w:tr>
      <w:tr>
        <w:trPr>
          <w:trHeight w:val="300"/>
        </w:trPr>
        <w:tc>
          <w:tcPr>
            <w:tcW w:w="18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Emerging growth company</w:t>
            </w:r>
          </w:p>
        </w:tc>
        <w:tc>
          <w:tcPr>
            <w:tcW w:w="240" w:type="dxa"/>
            <w:vAlign w:val="bottom"/>
          </w:tcPr>
          <w:p>
            <w:pPr>
              <w:ind w:left="60"/>
              <w:spacing w:after="0"/>
              <w:rPr>
                <w:sz w:val="20"/>
                <w:szCs w:val="20"/>
                <w:color w:val="auto"/>
              </w:rPr>
            </w:pPr>
            <w:r>
              <w:rPr>
                <w:rFonts w:ascii="Arial" w:cs="Arial" w:eastAsia="Arial" w:hAnsi="Arial"/>
                <w:sz w:val="20"/>
                <w:szCs w:val="20"/>
                <w:b w:val="1"/>
                <w:bCs w:val="1"/>
                <w:color w:val="auto"/>
              </w:rPr>
              <w:t>o</w:t>
            </w:r>
          </w:p>
        </w:tc>
      </w:tr>
    </w:tbl>
    <w:p>
      <w:pPr>
        <w:spacing w:after="0" w:line="129" w:lineRule="exact"/>
        <w:rPr>
          <w:sz w:val="20"/>
          <w:szCs w:val="20"/>
          <w:color w:val="auto"/>
        </w:rPr>
      </w:pPr>
    </w:p>
    <w:p>
      <w:pPr>
        <w:ind w:firstLine="720"/>
        <w:spacing w:after="0" w:line="296"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20"/>
          <w:szCs w:val="20"/>
          <w:b w:val="1"/>
          <w:bCs w:val="1"/>
          <w:color w:val="auto"/>
        </w:rPr>
        <w:t>o</w:t>
      </w:r>
    </w:p>
    <w:p>
      <w:pPr>
        <w:spacing w:after="0" w:line="92" w:lineRule="exact"/>
        <w:rPr>
          <w:sz w:val="20"/>
          <w:szCs w:val="20"/>
          <w:color w:val="auto"/>
        </w:rPr>
      </w:pPr>
    </w:p>
    <w:p>
      <w:pPr>
        <w:ind w:firstLine="720"/>
        <w:spacing w:after="0" w:line="273"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20"/>
          <w:szCs w:val="20"/>
          <w:b w:val="1"/>
          <w:bCs w:val="1"/>
          <w:color w:val="auto"/>
        </w:rPr>
        <w:t>þ</w:t>
      </w:r>
    </w:p>
    <w:p>
      <w:pPr>
        <w:spacing w:after="0" w:line="114" w:lineRule="exact"/>
        <w:rPr>
          <w:sz w:val="20"/>
          <w:szCs w:val="20"/>
          <w:color w:val="auto"/>
        </w:rPr>
      </w:pPr>
    </w:p>
    <w:p>
      <w:pPr>
        <w:ind w:right="280" w:firstLine="720"/>
        <w:spacing w:after="0" w:line="296"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20"/>
          <w:szCs w:val="20"/>
          <w:b w:val="1"/>
          <w:bCs w:val="1"/>
          <w:color w:val="auto"/>
        </w:rPr>
        <w:t>þ</w:t>
      </w:r>
    </w:p>
    <w:p>
      <w:pPr>
        <w:spacing w:after="0" w:line="92" w:lineRule="exact"/>
        <w:rPr>
          <w:sz w:val="20"/>
          <w:szCs w:val="20"/>
          <w:color w:val="auto"/>
        </w:rPr>
      </w:pPr>
    </w:p>
    <w:p>
      <w:pPr>
        <w:ind w:right="700" w:firstLine="720"/>
        <w:spacing w:after="0" w:line="296"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w:cs="Arial" w:eastAsia="Arial" w:hAnsi="Arial"/>
          <w:sz w:val="20"/>
          <w:szCs w:val="20"/>
          <w:b w:val="1"/>
          <w:bCs w:val="1"/>
          <w:color w:val="auto"/>
        </w:rPr>
        <w:t>o</w:t>
      </w:r>
    </w:p>
    <w:p>
      <w:pPr>
        <w:spacing w:after="0" w:line="93" w:lineRule="exact"/>
        <w:rPr>
          <w:sz w:val="20"/>
          <w:szCs w:val="20"/>
          <w:color w:val="auto"/>
        </w:rPr>
      </w:pPr>
    </w:p>
    <w:p>
      <w:pPr>
        <w:ind w:left="720"/>
        <w:spacing w:after="0" w:line="268" w:lineRule="exact"/>
        <w:tabs>
          <w:tab w:leader="none" w:pos="9200" w:val="left"/>
          <w:tab w:leader="none" w:pos="9940" w:val="left"/>
        </w:tabs>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Act).</w:t>
        <w:tab/>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ab/>
        <w:t xml:space="preserve">No </w:t>
      </w:r>
      <w:r>
        <w:rPr>
          <w:rFonts w:ascii="Arial" w:cs="Arial" w:eastAsia="Arial" w:hAnsi="Arial"/>
          <w:sz w:val="20"/>
          <w:szCs w:val="20"/>
          <w:b w:val="1"/>
          <w:bCs w:val="1"/>
          <w:color w:val="auto"/>
        </w:rPr>
        <w:t>þ</w:t>
      </w:r>
    </w:p>
    <w:p>
      <w:pPr>
        <w:spacing w:after="0" w:line="150" w:lineRule="exact"/>
        <w:rPr>
          <w:sz w:val="20"/>
          <w:szCs w:val="20"/>
          <w:color w:val="auto"/>
        </w:rPr>
      </w:pPr>
    </w:p>
    <w:p>
      <w:pPr>
        <w:ind w:right="260" w:firstLine="720"/>
        <w:spacing w:after="0" w:line="281" w:lineRule="auto"/>
        <w:rPr>
          <w:sz w:val="20"/>
          <w:szCs w:val="20"/>
          <w:color w:val="auto"/>
        </w:rPr>
      </w:pPr>
      <w:r>
        <w:rPr>
          <w:rFonts w:ascii="Times New Roman" w:cs="Times New Roman" w:eastAsia="Times New Roman" w:hAnsi="Times New Roman"/>
          <w:sz w:val="20"/>
          <w:szCs w:val="20"/>
          <w:color w:val="auto"/>
        </w:rPr>
        <w:t>The aggregate market value of voting and non-voting common equity held by non-affiliates of the registrant as of June 30, 2025, the last business day of NCR Voyix Corporation’s most recently completed second fiscal quarter, was approximately $1.6 billion.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February 19, 2026, there were 139,011,364 shares of common stock issued and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547370</wp:posOffset>
                </wp:positionH>
                <wp:positionV relativeFrom="paragraph">
                  <wp:posOffset>108585</wp:posOffset>
                </wp:positionV>
                <wp:extent cx="65055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pt,8.55pt" to="555.35pt,8.5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547370</wp:posOffset>
                </wp:positionH>
                <wp:positionV relativeFrom="paragraph">
                  <wp:posOffset>156210</wp:posOffset>
                </wp:positionV>
                <wp:extent cx="65055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1pt,12.3pt" to="555.35pt,12.3pt" o:allowincell="f" strokecolor="#000000" strokeweight="1pt"/>
            </w:pict>
          </mc:Fallback>
        </mc:AlternateContent>
      </w:r>
    </w:p>
    <w:p>
      <w:pPr>
        <w:sectPr>
          <w:pgSz w:w="12240" w:h="15840" w:orient="portrait"/>
          <w:cols w:equalWidth="0" w:num="1">
            <w:col w:w="11900"/>
          </w:cols>
          <w:pgMar w:left="180" w:top="220" w:right="160" w:bottom="1440" w:gutter="0" w:footer="0" w:header="0"/>
        </w:sectPr>
      </w:pPr>
    </w:p>
    <w:bookmarkStart w:id="3" w:name="page4"/>
    <w:bookmarkEnd w:id="3"/>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181" w:lineRule="exact"/>
        <w:rPr>
          <w:sz w:val="20"/>
          <w:szCs w:val="20"/>
          <w:color w:val="auto"/>
        </w:rPr>
      </w:pPr>
    </w:p>
    <w:p>
      <w:pPr>
        <w:jc w:val="both"/>
        <w:ind w:left="1300" w:right="200" w:hanging="731"/>
        <w:spacing w:after="0" w:line="229" w:lineRule="auto"/>
        <w:rPr>
          <w:sz w:val="20"/>
          <w:szCs w:val="20"/>
          <w:color w:val="auto"/>
        </w:rPr>
      </w:pPr>
      <w:r>
        <w:rPr>
          <w:rFonts w:ascii="Times New Roman" w:cs="Times New Roman" w:eastAsia="Times New Roman" w:hAnsi="Times New Roman"/>
          <w:sz w:val="20"/>
          <w:szCs w:val="20"/>
          <w:color w:val="auto"/>
        </w:rPr>
        <w:t>Part III: Portions of the registrant’s definitive proxy statement for its annual meeting of stockholders to be filed pursuant to Regulation 14A within 120 days after the registrant’s fiscal year end of December 31, 2025 are incorporated by reference into Part III of this report.</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40" w:type="dxa"/>
            <w:vAlign w:val="bottom"/>
            <w:gridSpan w:val="4"/>
          </w:tcPr>
          <w:p>
            <w:pPr>
              <w:jc w:val="right"/>
              <w:ind w:right="3700"/>
              <w:spacing w:after="0"/>
              <w:rPr>
                <w:sz w:val="20"/>
                <w:szCs w:val="20"/>
                <w:color w:val="auto"/>
              </w:rPr>
            </w:pPr>
            <w:r>
              <w:rPr>
                <w:rFonts w:ascii="Times New Roman" w:cs="Times New Roman" w:eastAsia="Times New Roman" w:hAnsi="Times New Roman"/>
                <w:sz w:val="20"/>
                <w:szCs w:val="20"/>
                <w:b w:val="1"/>
                <w:bCs w:val="1"/>
                <w:color w:val="auto"/>
              </w:rPr>
              <w:t>TABLE OF CONTENTS</w:t>
            </w:r>
          </w:p>
        </w:tc>
      </w:tr>
      <w:tr>
        <w:trPr>
          <w:trHeight w:val="859"/>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4"/>
              </w:rPr>
              <w:t>Item</w:t>
            </w:r>
          </w:p>
        </w:tc>
        <w:tc>
          <w:tcPr>
            <w:tcW w:w="440" w:type="dxa"/>
            <w:vAlign w:val="bottom"/>
          </w:tcPr>
          <w:p>
            <w:pPr>
              <w:spacing w:after="0"/>
              <w:rPr>
                <w:sz w:val="24"/>
                <w:szCs w:val="24"/>
                <w:color w:val="auto"/>
              </w:rPr>
            </w:pP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b w:val="1"/>
                <w:bCs w:val="1"/>
                <w:color w:val="auto"/>
                <w:w w:val="99"/>
              </w:rPr>
              <w:t>Description</w:t>
            </w:r>
          </w:p>
        </w:tc>
        <w:tc>
          <w:tcPr>
            <w:tcW w:w="1360" w:type="dxa"/>
            <w:vAlign w:val="bottom"/>
            <w:gridSpan w:val="5"/>
          </w:tcPr>
          <w:p>
            <w:pPr>
              <w:spacing w:after="0"/>
              <w:rPr>
                <w:sz w:val="24"/>
                <w:szCs w:val="24"/>
                <w:color w:val="auto"/>
              </w:rPr>
            </w:pPr>
          </w:p>
        </w:tc>
        <w:tc>
          <w:tcPr>
            <w:tcW w:w="6540" w:type="dxa"/>
            <w:vAlign w:val="bottom"/>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90"/>
        </w:trPr>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Forward-Looking Statements</w:t>
            </w:r>
          </w:p>
        </w:tc>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0000FF"/>
              </w:rPr>
              <w:t>i</w:t>
            </w:r>
          </w:p>
        </w:tc>
      </w:tr>
      <w:tr>
        <w:trPr>
          <w:trHeight w:val="573"/>
        </w:trPr>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gridSpan w:val="4"/>
          </w:tcPr>
          <w:p>
            <w:pPr>
              <w:jc w:val="right"/>
              <w:ind w:right="4520"/>
              <w:spacing w:after="0"/>
              <w:rPr>
                <w:sz w:val="20"/>
                <w:szCs w:val="20"/>
                <w:color w:val="auto"/>
              </w:rPr>
            </w:pPr>
            <w:r>
              <w:rPr>
                <w:rFonts w:ascii="Times New Roman" w:cs="Times New Roman" w:eastAsia="Times New Roman" w:hAnsi="Times New Roman"/>
                <w:sz w:val="20"/>
                <w:szCs w:val="20"/>
                <w:b w:val="1"/>
                <w:bCs w:val="1"/>
                <w:color w:val="auto"/>
              </w:rPr>
              <w:t>PART I</w:t>
            </w:r>
          </w:p>
        </w:tc>
      </w:tr>
      <w:tr>
        <w:trPr>
          <w:trHeight w:val="235"/>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440" w:type="dxa"/>
            <w:vAlign w:val="bottom"/>
          </w:tcPr>
          <w:p>
            <w:pPr>
              <w:spacing w:after="0"/>
              <w:rPr>
                <w:sz w:val="20"/>
                <w:szCs w:val="20"/>
                <w:color w:val="auto"/>
              </w:rPr>
            </w:pPr>
          </w:p>
        </w:tc>
        <w:tc>
          <w:tcPr>
            <w:tcW w:w="720" w:type="dxa"/>
            <w:vAlign w:val="bottom"/>
            <w:tcBorders>
              <w:bottom w:val="single" w:sz="8" w:color="0000FF"/>
            </w:tcBorders>
          </w:tcPr>
          <w:p>
            <w:pPr>
              <w:spacing w:after="0" w:line="197" w:lineRule="exact"/>
              <w:rPr>
                <w:sz w:val="20"/>
                <w:szCs w:val="20"/>
                <w:color w:val="auto"/>
              </w:rPr>
            </w:pPr>
            <w:r>
              <w:rPr>
                <w:rFonts w:ascii="Times New Roman" w:cs="Times New Roman" w:eastAsia="Times New Roman" w:hAnsi="Times New Roman"/>
                <w:sz w:val="20"/>
                <w:szCs w:val="20"/>
                <w:color w:val="0000FF"/>
                <w:w w:val="98"/>
              </w:rPr>
              <w:t>Business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0000FF"/>
            </w:tcBorders>
          </w:tcPr>
          <w:p>
            <w:pPr>
              <w:jc w:val="right"/>
              <w:spacing w:after="0" w:line="197" w:lineRule="exact"/>
              <w:rPr>
                <w:sz w:val="20"/>
                <w:szCs w:val="20"/>
                <w:color w:val="auto"/>
              </w:rPr>
            </w:pPr>
            <w:r>
              <w:rPr>
                <w:rFonts w:ascii="Times New Roman" w:cs="Times New Roman" w:eastAsia="Times New Roman" w:hAnsi="Times New Roman"/>
                <w:sz w:val="20"/>
                <w:szCs w:val="20"/>
                <w:color w:val="0000FF"/>
                <w:w w:val="79"/>
              </w:rPr>
              <w:t>1</w:t>
            </w:r>
          </w:p>
        </w:tc>
      </w:tr>
      <w:tr>
        <w:trPr>
          <w:trHeight w:val="217"/>
        </w:trPr>
        <w:tc>
          <w:tcPr>
            <w:tcW w:w="40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1A.</w:t>
            </w:r>
          </w:p>
        </w:tc>
        <w:tc>
          <w:tcPr>
            <w:tcW w:w="440" w:type="dxa"/>
            <w:vAlign w:val="bottom"/>
          </w:tcPr>
          <w:p>
            <w:pPr>
              <w:spacing w:after="0"/>
              <w:rPr>
                <w:sz w:val="18"/>
                <w:szCs w:val="18"/>
                <w:color w:val="auto"/>
              </w:rPr>
            </w:pPr>
          </w:p>
        </w:tc>
        <w:tc>
          <w:tcPr>
            <w:tcW w:w="2360" w:type="dxa"/>
            <w:vAlign w:val="bottom"/>
            <w:gridSpan w:val="8"/>
          </w:tcPr>
          <w:p>
            <w:pPr>
              <w:spacing w:after="0" w:line="217" w:lineRule="exact"/>
              <w:rPr>
                <w:sz w:val="20"/>
                <w:szCs w:val="20"/>
                <w:color w:val="auto"/>
              </w:rPr>
            </w:pPr>
            <w:r>
              <w:rPr>
                <w:rFonts w:ascii="Times New Roman" w:cs="Times New Roman" w:eastAsia="Times New Roman" w:hAnsi="Times New Roman"/>
                <w:sz w:val="20"/>
                <w:szCs w:val="20"/>
                <w:color w:val="0000FF"/>
              </w:rPr>
              <w:t>Risk Factors</w:t>
            </w:r>
          </w:p>
        </w:tc>
        <w:tc>
          <w:tcPr>
            <w:tcW w:w="6940" w:type="dxa"/>
            <w:vAlign w:val="bottom"/>
            <w:gridSpan w:val="4"/>
          </w:tcPr>
          <w:p>
            <w:pPr>
              <w:jc w:val="right"/>
              <w:spacing w:after="0" w:line="217" w:lineRule="exact"/>
              <w:rPr>
                <w:sz w:val="20"/>
                <w:szCs w:val="20"/>
                <w:color w:val="auto"/>
              </w:rPr>
            </w:pPr>
            <w:r>
              <w:rPr>
                <w:rFonts w:ascii="Times New Roman" w:cs="Times New Roman" w:eastAsia="Times New Roman" w:hAnsi="Times New Roman"/>
                <w:sz w:val="20"/>
                <w:szCs w:val="20"/>
                <w:color w:val="0000FF"/>
              </w:rPr>
              <w:t>9</w:t>
            </w:r>
          </w:p>
        </w:tc>
      </w:tr>
      <w:tr>
        <w:trPr>
          <w:trHeight w:val="20"/>
        </w:trPr>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35"/>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1B.</w:t>
            </w:r>
          </w:p>
        </w:tc>
        <w:tc>
          <w:tcPr>
            <w:tcW w:w="440" w:type="dxa"/>
            <w:vAlign w:val="bottom"/>
          </w:tcPr>
          <w:p>
            <w:pPr>
              <w:spacing w:after="0"/>
              <w:rPr>
                <w:sz w:val="20"/>
                <w:szCs w:val="20"/>
                <w:color w:val="auto"/>
              </w:rPr>
            </w:pPr>
          </w:p>
        </w:tc>
        <w:tc>
          <w:tcPr>
            <w:tcW w:w="22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Unresolved Staff Comments</w:t>
            </w:r>
          </w:p>
        </w:tc>
        <w:tc>
          <w:tcPr>
            <w:tcW w:w="80" w:type="dxa"/>
            <w:vAlign w:val="bottom"/>
          </w:tcPr>
          <w:p>
            <w:pPr>
              <w:spacing w:after="0"/>
              <w:rPr>
                <w:sz w:val="20"/>
                <w:szCs w:val="20"/>
                <w:color w:val="auto"/>
              </w:rPr>
            </w:pPr>
          </w:p>
        </w:tc>
        <w:tc>
          <w:tcPr>
            <w:tcW w:w="6740" w:type="dxa"/>
            <w:vAlign w:val="bottom"/>
            <w:gridSpan w:val="2"/>
          </w:tcPr>
          <w:p>
            <w:pPr>
              <w:spacing w:after="0"/>
              <w:rPr>
                <w:sz w:val="20"/>
                <w:szCs w:val="20"/>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26</w:t>
            </w:r>
          </w:p>
        </w:tc>
      </w:tr>
      <w:tr>
        <w:trPr>
          <w:trHeight w:val="235"/>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1C.</w:t>
            </w:r>
          </w:p>
        </w:tc>
        <w:tc>
          <w:tcPr>
            <w:tcW w:w="440" w:type="dxa"/>
            <w:vAlign w:val="bottom"/>
          </w:tcPr>
          <w:p>
            <w:pPr>
              <w:spacing w:after="0"/>
              <w:rPr>
                <w:sz w:val="20"/>
                <w:szCs w:val="20"/>
                <w:color w:val="auto"/>
              </w:rPr>
            </w:pPr>
          </w:p>
        </w:tc>
        <w:tc>
          <w:tcPr>
            <w:tcW w:w="23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Cybersecurity</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26</w:t>
            </w:r>
          </w:p>
        </w:tc>
      </w:tr>
      <w:tr>
        <w:trPr>
          <w:trHeight w:val="235"/>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440" w:type="dxa"/>
            <w:vAlign w:val="bottom"/>
          </w:tcPr>
          <w:p>
            <w:pPr>
              <w:spacing w:after="0"/>
              <w:rPr>
                <w:sz w:val="20"/>
                <w:szCs w:val="20"/>
                <w:color w:val="auto"/>
              </w:rPr>
            </w:pPr>
          </w:p>
        </w:tc>
        <w:tc>
          <w:tcPr>
            <w:tcW w:w="8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Properties</w:t>
            </w:r>
          </w:p>
        </w:tc>
        <w:tc>
          <w:tcPr>
            <w:tcW w:w="300" w:type="dxa"/>
            <w:vAlign w:val="bottom"/>
            <w:tcBorders>
              <w:top w:val="single" w:sz="8" w:color="0000FF"/>
            </w:tcBorders>
            <w:gridSpan w:val="2"/>
          </w:tcPr>
          <w:p>
            <w:pPr>
              <w:spacing w:after="0"/>
              <w:rPr>
                <w:sz w:val="20"/>
                <w:szCs w:val="20"/>
                <w:color w:val="auto"/>
              </w:rPr>
            </w:pPr>
          </w:p>
        </w:tc>
        <w:tc>
          <w:tcPr>
            <w:tcW w:w="1240" w:type="dxa"/>
            <w:vAlign w:val="bottom"/>
            <w:gridSpan w:val="4"/>
          </w:tcPr>
          <w:p>
            <w:pPr>
              <w:spacing w:after="0"/>
              <w:rPr>
                <w:sz w:val="20"/>
                <w:szCs w:val="20"/>
                <w:color w:val="auto"/>
              </w:rPr>
            </w:pPr>
          </w:p>
        </w:tc>
        <w:tc>
          <w:tcPr>
            <w:tcW w:w="6740" w:type="dxa"/>
            <w:vAlign w:val="bottom"/>
            <w:gridSpan w:val="2"/>
          </w:tcPr>
          <w:p>
            <w:pPr>
              <w:spacing w:after="0"/>
              <w:rPr>
                <w:sz w:val="20"/>
                <w:szCs w:val="20"/>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89"/>
              </w:rPr>
              <w:t>28</w:t>
            </w:r>
          </w:p>
        </w:tc>
      </w:tr>
      <w:tr>
        <w:trPr>
          <w:trHeight w:val="235"/>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440" w:type="dxa"/>
            <w:vAlign w:val="bottom"/>
          </w:tcPr>
          <w:p>
            <w:pPr>
              <w:spacing w:after="0"/>
              <w:rPr>
                <w:sz w:val="20"/>
                <w:szCs w:val="20"/>
                <w:color w:val="auto"/>
              </w:rPr>
            </w:pPr>
          </w:p>
        </w:tc>
        <w:tc>
          <w:tcPr>
            <w:tcW w:w="23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28</w:t>
            </w:r>
          </w:p>
        </w:tc>
      </w:tr>
      <w:tr>
        <w:trPr>
          <w:trHeight w:val="20"/>
        </w:trPr>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5"/>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440" w:type="dxa"/>
            <w:vAlign w:val="bottom"/>
          </w:tcPr>
          <w:p>
            <w:pPr>
              <w:spacing w:after="0"/>
              <w:rPr>
                <w:sz w:val="20"/>
                <w:szCs w:val="20"/>
                <w:color w:val="auto"/>
              </w:rPr>
            </w:pPr>
          </w:p>
        </w:tc>
        <w:tc>
          <w:tcPr>
            <w:tcW w:w="236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6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0000FF"/>
              </w:rPr>
              <w:t>28</w:t>
            </w:r>
          </w:p>
        </w:tc>
      </w:tr>
      <w:tr>
        <w:trPr>
          <w:trHeight w:val="20"/>
        </w:trPr>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51" w:lineRule="exact"/>
        <w:rPr>
          <w:sz w:val="20"/>
          <w:szCs w:val="20"/>
          <w:color w:val="auto"/>
        </w:rPr>
      </w:pPr>
    </w:p>
    <w:p>
      <w:pPr>
        <w:ind w:left="880" w:hanging="837"/>
        <w:spacing w:after="0"/>
        <w:tabs>
          <w:tab w:leader="none" w:pos="880" w:val="left"/>
        </w:tabs>
        <w:numPr>
          <w:ilvl w:val="0"/>
          <w:numId w:val="3"/>
        </w:numPr>
        <w:rPr>
          <w:rFonts w:ascii="Times New Roman" w:cs="Times New Roman" w:eastAsia="Times New Roman" w:hAnsi="Times New Roman"/>
          <w:sz w:val="40"/>
          <w:szCs w:val="40"/>
          <w:color w:val="auto"/>
          <w:vertAlign w:val="superscript"/>
        </w:rPr>
      </w:pPr>
      <w:r>
        <w:rPr>
          <w:rFonts w:ascii="Times New Roman" w:cs="Times New Roman" w:eastAsia="Times New Roman" w:hAnsi="Times New Roman"/>
          <w:sz w:val="20"/>
          <w:szCs w:val="20"/>
          <w:color w:val="0000FF"/>
        </w:rPr>
        <w:t>Market for the Registrant</w:t>
      </w:r>
      <w:r>
        <w:rPr>
          <w:rFonts w:ascii="Times New Roman" w:cs="Times New Roman" w:eastAsia="Times New Roman" w:hAnsi="Times New Roman"/>
          <w:sz w:val="20"/>
          <w:szCs w:val="20"/>
          <w:color w:val="3051F2"/>
        </w:rPr>
        <w:t>’</w:t>
      </w:r>
      <w:r>
        <w:rPr>
          <w:rFonts w:ascii="Times New Roman" w:cs="Times New Roman" w:eastAsia="Times New Roman" w:hAnsi="Times New Roman"/>
          <w:sz w:val="20"/>
          <w:szCs w:val="20"/>
          <w:color w:val="0000FF"/>
        </w:rPr>
        <w:t>s Common Equity, Related Stockholder Matters and Issuer Purchases of Equity</w:t>
      </w:r>
    </w:p>
    <w:tbl>
      <w:tblPr>
        <w:tblLayout w:type="fixed"/>
        <w:tblInd w:w="40" w:type="dxa"/>
        <w:tblCellMar>
          <w:top w:w="0" w:type="dxa"/>
          <w:left w:w="0" w:type="dxa"/>
          <w:bottom w:w="0" w:type="dxa"/>
          <w:right w:w="0" w:type="dxa"/>
        </w:tblCellMar>
      </w:tblPr>
      <w:tr>
        <w:trPr>
          <w:trHeight w:val="180"/>
        </w:trPr>
        <w:tc>
          <w:tcPr>
            <w:tcW w:w="900" w:type="dxa"/>
            <w:vAlign w:val="bottom"/>
          </w:tcPr>
          <w:p>
            <w:pPr>
              <w:spacing w:after="0"/>
              <w:rPr>
                <w:sz w:val="15"/>
                <w:szCs w:val="15"/>
                <w:color w:val="auto"/>
              </w:rPr>
            </w:pPr>
          </w:p>
        </w:tc>
        <w:tc>
          <w:tcPr>
            <w:tcW w:w="740" w:type="dxa"/>
            <w:vAlign w:val="bottom"/>
            <w:tcBorders>
              <w:top w:val="single" w:sz="8" w:color="0000FF"/>
              <w:bottom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1"/>
              </w:rPr>
              <w:t>Securities</w:t>
            </w:r>
          </w:p>
        </w:tc>
        <w:tc>
          <w:tcPr>
            <w:tcW w:w="1220" w:type="dxa"/>
            <w:vAlign w:val="bottom"/>
            <w:tcBorders>
              <w:top w:val="single" w:sz="8" w:color="0000FF"/>
            </w:tcBorders>
            <w:gridSpan w:val="8"/>
          </w:tcPr>
          <w:p>
            <w:pPr>
              <w:spacing w:after="0"/>
              <w:rPr>
                <w:sz w:val="15"/>
                <w:szCs w:val="15"/>
                <w:color w:val="auto"/>
              </w:rPr>
            </w:pPr>
          </w:p>
        </w:tc>
        <w:tc>
          <w:tcPr>
            <w:tcW w:w="80" w:type="dxa"/>
            <w:vAlign w:val="bottom"/>
            <w:tcBorders>
              <w:top w:val="single" w:sz="8" w:color="3051F2"/>
            </w:tcBorders>
          </w:tcPr>
          <w:p>
            <w:pPr>
              <w:spacing w:after="0"/>
              <w:rPr>
                <w:sz w:val="15"/>
                <w:szCs w:val="15"/>
                <w:color w:val="auto"/>
              </w:rPr>
            </w:pPr>
          </w:p>
        </w:tc>
        <w:tc>
          <w:tcPr>
            <w:tcW w:w="10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00" w:type="dxa"/>
            <w:vAlign w:val="bottom"/>
            <w:gridSpan w:val="2"/>
          </w:tcPr>
          <w:p>
            <w:pPr>
              <w:spacing w:after="0"/>
              <w:rPr>
                <w:sz w:val="15"/>
                <w:szCs w:val="15"/>
                <w:color w:val="auto"/>
              </w:rPr>
            </w:pPr>
          </w:p>
        </w:tc>
        <w:tc>
          <w:tcPr>
            <w:tcW w:w="200" w:type="dxa"/>
            <w:vAlign w:val="bottom"/>
            <w:tcBorders>
              <w:bottom w:val="single" w:sz="8" w:color="0000FF"/>
            </w:tcBorders>
          </w:tcPr>
          <w:p>
            <w:pPr>
              <w:jc w:val="right"/>
              <w:spacing w:after="0" w:line="180" w:lineRule="exact"/>
              <w:rPr>
                <w:sz w:val="20"/>
                <w:szCs w:val="20"/>
                <w:color w:val="auto"/>
              </w:rPr>
            </w:pPr>
            <w:r>
              <w:rPr>
                <w:rFonts w:ascii="Times New Roman" w:cs="Times New Roman" w:eastAsia="Times New Roman" w:hAnsi="Times New Roman"/>
                <w:sz w:val="20"/>
                <w:szCs w:val="20"/>
                <w:color w:val="0000FF"/>
                <w:w w:val="89"/>
              </w:rPr>
              <w:t>29</w:t>
            </w:r>
          </w:p>
        </w:tc>
      </w:tr>
      <w:tr>
        <w:trPr>
          <w:trHeight w:val="23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6.</w:t>
            </w:r>
          </w:p>
        </w:tc>
        <w:tc>
          <w:tcPr>
            <w:tcW w:w="8440" w:type="dxa"/>
            <w:vAlign w:val="bottom"/>
            <w:gridSpan w:val="21"/>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0000FF"/>
              </w:rPr>
              <w:t>Reserved</w:t>
            </w:r>
            <w:r>
              <w:rPr>
                <w:rFonts w:ascii="Times New Roman" w:cs="Times New Roman" w:eastAsia="Times New Roman" w:hAnsi="Times New Roman"/>
                <w:sz w:val="20"/>
                <w:szCs w:val="20"/>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30</w:t>
            </w:r>
          </w:p>
        </w:tc>
      </w:tr>
      <w:tr>
        <w:trPr>
          <w:trHeight w:val="20"/>
        </w:trPr>
        <w:tc>
          <w:tcPr>
            <w:tcW w:w="9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3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84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Management</w:t>
            </w:r>
            <w:r>
              <w:rPr>
                <w:rFonts w:ascii="Times New Roman" w:cs="Times New Roman" w:eastAsia="Times New Roman" w:hAnsi="Times New Roman"/>
                <w:sz w:val="20"/>
                <w:szCs w:val="20"/>
                <w:color w:val="3051F2"/>
              </w:rPr>
              <w:t>’</w:t>
            </w:r>
            <w:r>
              <w:rPr>
                <w:rFonts w:ascii="Times New Roman" w:cs="Times New Roman" w:eastAsia="Times New Roman" w:hAnsi="Times New Roman"/>
                <w:sz w:val="20"/>
                <w:szCs w:val="20"/>
                <w:color w:val="0000FF"/>
              </w:rPr>
              <w:t>s Discussion and Analysis of Financial Condition and Results of Operations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31</w:t>
            </w:r>
          </w:p>
        </w:tc>
      </w:tr>
      <w:tr>
        <w:trPr>
          <w:trHeight w:val="20"/>
        </w:trPr>
        <w:tc>
          <w:tcPr>
            <w:tcW w:w="900" w:type="dxa"/>
            <w:vAlign w:val="bottom"/>
            <w:tcBorders>
              <w:right w:val="single" w:sz="8" w:color="0000FF"/>
            </w:tcBorders>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7A.</w:t>
            </w:r>
          </w:p>
        </w:tc>
        <w:tc>
          <w:tcPr>
            <w:tcW w:w="4720" w:type="dxa"/>
            <w:vAlign w:val="bottom"/>
            <w:tcBorders>
              <w:bottom w:val="single" w:sz="8" w:color="0000FF"/>
            </w:tcBorders>
            <w:gridSpan w:val="15"/>
          </w:tcPr>
          <w:p>
            <w:pPr>
              <w:spacing w:after="0" w:line="225" w:lineRule="exact"/>
              <w:rPr>
                <w:sz w:val="20"/>
                <w:szCs w:val="20"/>
                <w:color w:val="auto"/>
              </w:rPr>
            </w:pPr>
            <w:r>
              <w:rPr>
                <w:rFonts w:ascii="Times New Roman" w:cs="Times New Roman" w:eastAsia="Times New Roman" w:hAnsi="Times New Roman"/>
                <w:sz w:val="20"/>
                <w:szCs w:val="20"/>
                <w:color w:val="0000FF"/>
                <w:w w:val="98"/>
              </w:rPr>
              <w:t>Quantitative and Qualitative Disclosures about Market Risk</w:t>
            </w: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80" w:type="dxa"/>
            <w:vAlign w:val="bottom"/>
            <w:gridSpan w:val="2"/>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0000FF"/>
            </w:tcBorders>
          </w:tcPr>
          <w:p>
            <w:pPr>
              <w:jc w:val="right"/>
              <w:spacing w:after="0" w:line="225" w:lineRule="exact"/>
              <w:rPr>
                <w:sz w:val="20"/>
                <w:szCs w:val="20"/>
                <w:color w:val="auto"/>
              </w:rPr>
            </w:pPr>
            <w:r>
              <w:rPr>
                <w:rFonts w:ascii="Times New Roman" w:cs="Times New Roman" w:eastAsia="Times New Roman" w:hAnsi="Times New Roman"/>
                <w:sz w:val="20"/>
                <w:szCs w:val="20"/>
                <w:color w:val="0000FF"/>
                <w:w w:val="89"/>
              </w:rPr>
              <w:t>52</w:t>
            </w:r>
          </w:p>
        </w:tc>
      </w:tr>
      <w:tr>
        <w:trPr>
          <w:trHeight w:val="217"/>
        </w:trPr>
        <w:tc>
          <w:tcPr>
            <w:tcW w:w="90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8.</w:t>
            </w:r>
          </w:p>
        </w:tc>
        <w:tc>
          <w:tcPr>
            <w:tcW w:w="3640" w:type="dxa"/>
            <w:vAlign w:val="bottom"/>
            <w:tcBorders>
              <w:bottom w:val="single" w:sz="8" w:color="0000FF"/>
            </w:tcBorders>
            <w:gridSpan w:val="13"/>
          </w:tcPr>
          <w:p>
            <w:pPr>
              <w:spacing w:after="0" w:line="217" w:lineRule="exact"/>
              <w:rPr>
                <w:sz w:val="20"/>
                <w:szCs w:val="20"/>
                <w:color w:val="auto"/>
              </w:rPr>
            </w:pPr>
            <w:r>
              <w:rPr>
                <w:rFonts w:ascii="Times New Roman" w:cs="Times New Roman" w:eastAsia="Times New Roman" w:hAnsi="Times New Roman"/>
                <w:sz w:val="20"/>
                <w:szCs w:val="20"/>
                <w:color w:val="0000FF"/>
                <w:w w:val="97"/>
              </w:rPr>
              <w:t>Financial Statements and Supplementary Data</w:t>
            </w:r>
          </w:p>
        </w:tc>
        <w:tc>
          <w:tcPr>
            <w:tcW w:w="48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200" w:type="dxa"/>
            <w:vAlign w:val="bottom"/>
            <w:tcBorders>
              <w:bottom w:val="single" w:sz="8" w:color="0000FF"/>
            </w:tcBorders>
          </w:tcPr>
          <w:p>
            <w:pPr>
              <w:jc w:val="right"/>
              <w:spacing w:after="0" w:line="217" w:lineRule="exact"/>
              <w:rPr>
                <w:sz w:val="20"/>
                <w:szCs w:val="20"/>
                <w:color w:val="auto"/>
              </w:rPr>
            </w:pPr>
            <w:r>
              <w:rPr>
                <w:rFonts w:ascii="Times New Roman" w:cs="Times New Roman" w:eastAsia="Times New Roman" w:hAnsi="Times New Roman"/>
                <w:sz w:val="20"/>
                <w:szCs w:val="20"/>
                <w:color w:val="0000FF"/>
                <w:w w:val="89"/>
              </w:rPr>
              <w:t>54</w:t>
            </w:r>
          </w:p>
        </w:tc>
      </w:tr>
      <w:tr>
        <w:trPr>
          <w:trHeight w:val="49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71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8"/>
              </w:rPr>
              <w:t>Changes in and Disagreements with Accountants on Accounting and Financial Disclosure</w:t>
            </w:r>
          </w:p>
        </w:tc>
        <w:tc>
          <w:tcPr>
            <w:tcW w:w="130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113</w:t>
            </w:r>
          </w:p>
        </w:tc>
      </w:tr>
      <w:tr>
        <w:trPr>
          <w:trHeight w:val="23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9A.</w:t>
            </w:r>
          </w:p>
        </w:tc>
        <w:tc>
          <w:tcPr>
            <w:tcW w:w="84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113</w:t>
            </w:r>
          </w:p>
        </w:tc>
      </w:tr>
      <w:tr>
        <w:trPr>
          <w:trHeight w:val="23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9B.</w:t>
            </w:r>
          </w:p>
        </w:tc>
        <w:tc>
          <w:tcPr>
            <w:tcW w:w="19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Other Information</w:t>
            </w:r>
          </w:p>
        </w:tc>
        <w:tc>
          <w:tcPr>
            <w:tcW w:w="6540" w:type="dxa"/>
            <w:vAlign w:val="bottom"/>
            <w:gridSpan w:val="14"/>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114</w:t>
            </w:r>
          </w:p>
        </w:tc>
      </w:tr>
      <w:tr>
        <w:trPr>
          <w:trHeight w:val="20"/>
        </w:trPr>
        <w:tc>
          <w:tcPr>
            <w:tcW w:w="900" w:type="dxa"/>
            <w:vAlign w:val="bottom"/>
            <w:tcBorders>
              <w:right w:val="single" w:sz="8" w:color="0000FF"/>
            </w:tcBorders>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r>
      <w:tr>
        <w:trPr>
          <w:trHeight w:val="23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9C.</w:t>
            </w:r>
          </w:p>
        </w:tc>
        <w:tc>
          <w:tcPr>
            <w:tcW w:w="5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8"/>
              </w:rPr>
              <w:t>Disclosure Regarding Foreign Jurisdiction That Prevent Inspections</w:t>
            </w:r>
          </w:p>
        </w:tc>
        <w:tc>
          <w:tcPr>
            <w:tcW w:w="3060" w:type="dxa"/>
            <w:vAlign w:val="bottom"/>
            <w:gridSpan w:val="5"/>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114</w:t>
            </w:r>
          </w:p>
        </w:tc>
      </w:tr>
      <w:tr>
        <w:trPr>
          <w:trHeight w:val="458"/>
        </w:trPr>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8"/>
          </w:tcPr>
          <w:p>
            <w:pPr>
              <w:ind w:left="24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4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0"/>
                <w:szCs w:val="20"/>
                <w:color w:val="0000FF"/>
                <w:w w:val="98"/>
              </w:rPr>
              <w:t>Directors, Executive Officers and Corporate Governance</w:t>
            </w:r>
          </w:p>
        </w:tc>
        <w:tc>
          <w:tcPr>
            <w:tcW w:w="3940" w:type="dxa"/>
            <w:vAlign w:val="bottom"/>
            <w:gridSpan w:val="7"/>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115</w:t>
            </w:r>
          </w:p>
        </w:tc>
      </w:tr>
      <w:tr>
        <w:trPr>
          <w:trHeight w:val="26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84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Executive Compensation</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115</w:t>
            </w:r>
          </w:p>
        </w:tc>
      </w:tr>
      <w:tr>
        <w:trPr>
          <w:trHeight w:val="20"/>
        </w:trPr>
        <w:tc>
          <w:tcPr>
            <w:tcW w:w="900" w:type="dxa"/>
            <w:vAlign w:val="bottom"/>
            <w:tcBorders>
              <w:right w:val="single" w:sz="8" w:color="0000FF"/>
            </w:tcBorders>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r>
      <w:tr>
        <w:trPr>
          <w:trHeight w:val="26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80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8"/>
              </w:rPr>
              <w:t>Security Ownership of Certain Beneficial Owners and Management and Related Stockholder Matters</w:t>
            </w: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115</w:t>
            </w:r>
          </w:p>
        </w:tc>
      </w:tr>
      <w:tr>
        <w:trPr>
          <w:trHeight w:val="26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13.</w:t>
            </w:r>
          </w:p>
        </w:tc>
        <w:tc>
          <w:tcPr>
            <w:tcW w:w="59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8"/>
              </w:rPr>
              <w:t>Certain Relationships and Related Transactions and Director Independence</w:t>
            </w:r>
          </w:p>
        </w:tc>
        <w:tc>
          <w:tcPr>
            <w:tcW w:w="2480" w:type="dxa"/>
            <w:vAlign w:val="bottom"/>
            <w:gridSpan w:val="4"/>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115</w:t>
            </w:r>
          </w:p>
        </w:tc>
      </w:tr>
      <w:tr>
        <w:trPr>
          <w:trHeight w:val="26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14.</w:t>
            </w:r>
          </w:p>
        </w:tc>
        <w:tc>
          <w:tcPr>
            <w:tcW w:w="84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Principal Accountant Fees and Services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115</w:t>
            </w:r>
          </w:p>
        </w:tc>
      </w:tr>
      <w:tr>
        <w:trPr>
          <w:trHeight w:val="518"/>
        </w:trPr>
        <w:tc>
          <w:tcPr>
            <w:tcW w:w="90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8"/>
          </w:tcPr>
          <w:p>
            <w:pPr>
              <w:ind w:left="24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r>
      <w:tr>
        <w:trPr>
          <w:trHeight w:val="452"/>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15.</w:t>
            </w:r>
          </w:p>
        </w:tc>
        <w:tc>
          <w:tcPr>
            <w:tcW w:w="33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7"/>
              </w:rPr>
              <w:t>Exhibits and Financial Statement Schedule</w:t>
            </w:r>
          </w:p>
        </w:tc>
        <w:tc>
          <w:tcPr>
            <w:tcW w:w="506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116</w:t>
            </w:r>
          </w:p>
        </w:tc>
      </w:tr>
      <w:tr>
        <w:trPr>
          <w:trHeight w:val="295"/>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16.</w:t>
            </w:r>
          </w:p>
        </w:tc>
        <w:tc>
          <w:tcPr>
            <w:tcW w:w="8440" w:type="dxa"/>
            <w:vAlign w:val="bottom"/>
            <w:gridSpan w:val="21"/>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121</w:t>
            </w:r>
          </w:p>
        </w:tc>
      </w:tr>
      <w:tr>
        <w:trPr>
          <w:trHeight w:val="20"/>
        </w:trPr>
        <w:tc>
          <w:tcPr>
            <w:tcW w:w="900" w:type="dxa"/>
            <w:vAlign w:val="bottom"/>
            <w:tcBorders>
              <w:right w:val="single" w:sz="8" w:color="0000FF"/>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report contains trademarks, service marks and registered marks of NCR Voyix Corporation and its subsidiaries, and of other companies, as indicated. Unless otherwise indicated, the terms “NCR Voyix,” “NCR,” the “Company,” “we,” “us,” and “our” refer to NCR Voyix Corporation and its subsidiaries.</w:t>
      </w:r>
    </w:p>
    <w:p>
      <w:pPr>
        <w:sectPr>
          <w:pgSz w:w="12240" w:h="15840" w:orient="portrait"/>
          <w:cols w:equalWidth="0" w:num="1">
            <w:col w:w="10600"/>
          </w:cols>
          <w:pgMar w:left="820" w:top="220" w:right="820" w:bottom="1440" w:gutter="0" w:footer="0" w:header="0"/>
        </w:sectPr>
      </w:pPr>
    </w:p>
    <w:bookmarkStart w:id="4" w:name="page5"/>
    <w:bookmarkEnd w:id="4"/>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NOTICE REGARDING FORWARD-LOOKING STATEMENTS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Annual Report on Form 10-K (this “Report”) contains “forward-looking statements” within the meaning of the Private Securities Litigation Reform Act of 1995, Section 27A of the Securities Act of 1933, and Section 21E of the Securities Exchange Act of 1934 (the “Exchange Act”). Forward-looking statements may appear throughout this Report and can generally be identified by words such as “expect,” “anticipate,” “outlook,” “intend,” “plan,” “believe,” “will,” “should,” “would,” “potential,” “proposed,” “planned,” “estimate,” “likely,” “could,” “may,” and similar expressions referencing future events, conditions or circumstances. Examples of forward-looking statements include, without limitation, the Company’s plans, strategies, projections, future financial or operational results, events, trends, and economic and other future conditions. Forward-looking statements in this Report also include, without limitation, statements regarding: the Company’s plans, strategies or objectives for future operations, including the Company’s suite of microservices-based applications, and its Voyix Commerce Platform; expectations regarding the Hardware Business Transition; statements regarding the future commercial or financial performance of the Company; the estimated or anticipated future results and benefits of the Company’s plans and operations; the Company’s expectations of demand for its solutions and the impact thereof on the Company’s financial results in 2026; and statements regarding the Company’s ability to deliver increased value to customers and stockholders. Forward-looking statements are based solely on management’s current beliefs, expectations and assumptions, whether express or implied, regarding the future and may prove to be inaccurate. Actual results could differ materially from expectations expressed or implied by such forward-looking statements due to a number of factors, such as the risks and uncertainties, including, but not limited to, those discussed in Item 1A. “Risk Factors” of this Report and in our other periodic and current reports, filed with the U.S. Securities and Exchange Commission (the “SEC”) or other unknown risks and uncertainties or due to the trends and uncertainties discussed in Part II, Item 7, “Management’s Discussion and Analysis of Financial Condition and Results of Operations” of this Report.</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Any forward-looking statement we make speaks only as of the date on which it is made. The Company does not undertake any obligation to publicly update or revise any forward-looking statements, whether resulting from new information, future events, any inaccurate belief, expectation or assumption, or otherwise, except as required by law.</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620"/>
          </w:cols>
          <w:pgMar w:left="820" w:top="220" w:right="800" w:bottom="0" w:gutter="0" w:footer="0" w:header="0"/>
          <w:type w:val="continuous"/>
        </w:sectPr>
      </w:pPr>
    </w:p>
    <w:bookmarkStart w:id="5" w:name="page6"/>
    <w:bookmarkEnd w:id="5"/>
    <w:p>
      <w:pPr>
        <w:ind w:left="19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7" w:lineRule="exact"/>
        <w:rPr>
          <w:sz w:val="20"/>
          <w:szCs w:val="20"/>
          <w:color w:val="auto"/>
        </w:rPr>
      </w:pPr>
    </w:p>
    <w:p>
      <w:pPr>
        <w:jc w:val="both"/>
        <w:ind w:left="10" w:right="20"/>
        <w:spacing w:after="0" w:line="265" w:lineRule="auto"/>
        <w:rPr>
          <w:sz w:val="20"/>
          <w:szCs w:val="20"/>
          <w:color w:val="auto"/>
        </w:rPr>
      </w:pPr>
      <w:r>
        <w:rPr>
          <w:rFonts w:ascii="Times New Roman" w:cs="Times New Roman" w:eastAsia="Times New Roman" w:hAnsi="Times New Roman"/>
          <w:sz w:val="20"/>
          <w:szCs w:val="20"/>
          <w:color w:val="auto"/>
        </w:rPr>
        <w:t>Unless the context indicates otherwise, all references in this Report to “NCR Voyix”, the “Company,” “we,” “us” and “our,” mean NCR Voyix Corporation and our consolidated subsidiaries.</w:t>
      </w:r>
    </w:p>
    <w:p>
      <w:pPr>
        <w:spacing w:after="0" w:line="157"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257"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NCR Voyix is a global platform-powered leader in unified commerce for shopping and dining, empowering customers to simplify transactions, optimize and scale operations and deliver superior experiences to customers through our modernized suite of microservices-based applications and comprehensive service offerings.</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We are headquartered in Atlanta, Georgia with approximately 13,500 employees across nearly 30 countries.</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Recent Business Transactions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On October 16, 2023, we completed the spin-off of our ATM-focused business, which included our self-service banking, payments</w:t>
      </w:r>
    </w:p>
    <w:p>
      <w:pPr>
        <w:spacing w:after="0" w:line="30" w:lineRule="exact"/>
        <w:rPr>
          <w:sz w:val="20"/>
          <w:szCs w:val="20"/>
          <w:color w:val="auto"/>
        </w:rPr>
      </w:pPr>
    </w:p>
    <w:p>
      <w:pPr>
        <w:jc w:val="both"/>
        <w:ind w:left="10" w:right="20" w:hanging="10"/>
        <w:spacing w:after="0" w:line="252" w:lineRule="auto"/>
        <w:tabs>
          <w:tab w:leader="none" w:pos="26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and telecommunications and technology businesses, into an independent publicly traded company, NCR Atleos Corporation and its consolidated subsidiaries (collectively hereinafter “NCR Atleos”). The spin-off of NCR Atleos was effectuated through a pro rata distribution of all outstanding shares of NCR Atleos common stock to holders of our common stock as of the close of business on October 2, 2023 (the “Spin-Off”). In connection with the Spin-Off, we changed our name from NCR Corporation to NCR Voyix Corporation, and our common stock began trading on the New York Stock Exchange under the stock symbol “VYX” on October 17, 2023. We do not have any ownership interest in NCR Atleos. The historical financial results of NCR Atleos are reflected as discontinued operations in our consolidated financial statements.</w:t>
      </w:r>
    </w:p>
    <w:p>
      <w:pPr>
        <w:spacing w:after="0" w:line="209"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We completed the sale of our Digital Banking segment businesses (the “Digital Banking Sale”) to an affiliate of The Veritas Capital Fund VIII, L.P. (the “Buyer”) on September 30, 2024. The purchase price for the Digital Banking Sale was $2.45 billion in cash, subject to a post-closing adjustment, as well as contingent consideration of up to an additional $100 million in cash upon the achievement of a specified return on the Buyer’s invested capital at the time of any future sale. The historical financial results of the Digital Banking segment businesses are reflected as discontinued operations in the Company’s consolidated financial statements.</w:t>
      </w:r>
    </w:p>
    <w:p>
      <w:pPr>
        <w:spacing w:after="0" w:line="204"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On August 6, 2024, we announced our entry into a commercial agreement with Ennoconn Corporation (“Ennoconn”) to transition our self-checkout and point-of-sale hardware businesses to an outsourced design and manufacturing model (“ODM”), including the sale of certain assets relating to these businesses (the “Hardware Business Transition”). Under the terms of the agreement, Ennoconn will design, manufacture, warrant, supply and ship self-checkout and point-of sale hardware directly to our customers, and we will sell hardware to our customers as a sales agent for Ennoconn and continue to provide our point-of sale and self-checkout software as well as key support and maintenance services. As a result of the Hardware Business Transition, we expect to record commission revenue from point-of-sale and self-checkout hardware sales as an agent for Ennoconn on a net basis, excluding the costs paid to Ennoconn. On January 8, 2026, we announced the commencement of the implementation phase of this new hardware model and began migrating certain aspects of our hardware business to Ennoconn.</w:t>
      </w:r>
    </w:p>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57"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Our strategy is to advance our position as a platform-powered leader in unified commerce for shopping and dining at a time when consumer expectations for seamless, personalized and frictionless experiences continue to rise across both retail and restaurant environments. Today’s consumers expect to shop, order, pay and receive service effortlessly, whether online, in-store, curbside or through mobile channels. Consumers increasingly favor brands that deliver speed, consistency and convenience at every interaction. These heightened expectations have placed pressure on retailers and restaurants to modernize their operations and adopt technologies that can support real-time engagement and continuous innovation across digital and physical touchpoints. Guided by our mission to make the consumer experience seamless, we focus on delivering integrated, scalable solutions that enable restaurants and retailers to differentiate their brands and operate more efficiently in a rapidly evolving commerce landscape. By combining hardware, software, services and payments into a unified suite of offerings, we aim to deliver to customers an end-to-end value proposition that is difficult to match. As the adoption of our platform and solutions accelerates, we intend to strengthen customer relationships, enhance recurring revenue streams and broaden monetization opportunities across our Voyix Commerce Platform. To achieve these goals, we are focused on:</w:t>
      </w:r>
    </w:p>
    <w:p>
      <w:pPr>
        <w:spacing w:after="0" w:line="16" w:lineRule="exact"/>
        <w:rPr>
          <w:sz w:val="20"/>
          <w:szCs w:val="20"/>
          <w:color w:val="auto"/>
        </w:rPr>
      </w:pPr>
    </w:p>
    <w:p>
      <w:pPr>
        <w:jc w:val="both"/>
        <w:ind w:left="730" w:hanging="370"/>
        <w:spacing w:after="0" w:line="314" w:lineRule="auto"/>
        <w:tabs>
          <w:tab w:leader="none" w:pos="73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Delivering a modern microservices</w:t>
      </w:r>
      <w:r>
        <w:rPr>
          <w:rFonts w:ascii="Arial" w:cs="Arial" w:eastAsia="Arial" w:hAnsi="Arial"/>
          <w:sz w:val="20"/>
          <w:szCs w:val="20"/>
          <w:b w:val="1"/>
          <w:bCs w:val="1"/>
          <w:color w:val="auto"/>
        </w:rPr>
        <w:t>-</w:t>
      </w:r>
      <w:r>
        <w:rPr>
          <w:rFonts w:ascii="Times New Roman" w:cs="Times New Roman" w:eastAsia="Times New Roman" w:hAnsi="Times New Roman"/>
          <w:sz w:val="20"/>
          <w:szCs w:val="20"/>
          <w:b w:val="1"/>
          <w:bCs w:val="1"/>
          <w:i w:val="1"/>
          <w:iCs w:val="1"/>
          <w:color w:val="auto"/>
        </w:rPr>
        <w:t>based suite of software-as-a-solution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SaaS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solutions. </w:t>
      </w:r>
      <w:r>
        <w:rPr>
          <w:rFonts w:ascii="Times New Roman" w:cs="Times New Roman" w:eastAsia="Times New Roman" w:hAnsi="Times New Roman"/>
          <w:sz w:val="20"/>
          <w:szCs w:val="20"/>
          <w:color w:val="auto"/>
        </w:rPr>
        <w:t>We are transforming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legacy software portfolio into a streamlined suite of microservices</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based SaaS applications built on our cloud-based Voyix</w:t>
      </w:r>
    </w:p>
    <w:p>
      <w:pPr>
        <w:sectPr>
          <w:pgSz w:w="12240" w:h="15840" w:orient="portrait"/>
          <w:cols w:equalWidth="0" w:num="1">
            <w:col w:w="10630"/>
          </w:cols>
          <w:pgMar w:left="810" w:top="220" w:right="80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630"/>
          </w:cols>
          <w:pgMar w:left="810" w:top="220" w:right="800" w:bottom="0" w:gutter="0" w:footer="0" w:header="0"/>
          <w:type w:val="continuous"/>
        </w:sectPr>
      </w:pPr>
    </w:p>
    <w:bookmarkStart w:id="6" w:name="page7"/>
    <w:bookmarkEnd w:id="6"/>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left="720" w:right="20"/>
        <w:spacing w:after="0" w:line="260" w:lineRule="auto"/>
        <w:rPr>
          <w:sz w:val="20"/>
          <w:szCs w:val="20"/>
          <w:color w:val="auto"/>
        </w:rPr>
      </w:pPr>
      <w:r>
        <w:rPr>
          <w:rFonts w:ascii="Times New Roman" w:cs="Times New Roman" w:eastAsia="Times New Roman" w:hAnsi="Times New Roman"/>
          <w:sz w:val="20"/>
          <w:szCs w:val="20"/>
          <w:color w:val="auto"/>
        </w:rPr>
        <w:t>Commerce Platform, leveraging AI tools to accelerate development. This transformation enhances the scalability, flexibility and agility of our solutions, enabling us to innovate with speed and better meet the evolving needs of our retail and restaurant customers. Our enhanced SaaS solutions expand the breadth of products and services available to existing customers, while also increasing our ability to attract new customers and technology partners.</w:t>
      </w:r>
    </w:p>
    <w:p>
      <w:pPr>
        <w:spacing w:after="0" w:line="18" w:lineRule="exact"/>
        <w:rPr>
          <w:sz w:val="20"/>
          <w:szCs w:val="20"/>
          <w:color w:val="auto"/>
        </w:rPr>
      </w:pPr>
    </w:p>
    <w:p>
      <w:pPr>
        <w:jc w:val="both"/>
        <w:ind w:left="720" w:right="20" w:hanging="370"/>
        <w:spacing w:after="0" w:line="262"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Expanding adoption of our integrated payment solutions. </w:t>
      </w:r>
      <w:r>
        <w:rPr>
          <w:rFonts w:ascii="Times New Roman" w:cs="Times New Roman" w:eastAsia="Times New Roman" w:hAnsi="Times New Roman"/>
          <w:sz w:val="20"/>
          <w:szCs w:val="20"/>
          <w:color w:val="auto"/>
        </w:rPr>
        <w:t>We have taken significant steps to develop and deploy end-to-end payments solutions that fully integrate into our platform and SaaS solutions, including expanding our card acceptance, processing and gateway capabilities. We intend to expand the geographic reach of these payments solutions and continue enhancing our payment acceptance capabilities, including, among others, commercial fuel transactions.</w:t>
      </w:r>
    </w:p>
    <w:p>
      <w:pPr>
        <w:spacing w:after="0" w:line="15" w:lineRule="exact"/>
        <w:rPr>
          <w:rFonts w:ascii="Times New Roman" w:cs="Times New Roman" w:eastAsia="Times New Roman" w:hAnsi="Times New Roman"/>
          <w:sz w:val="20"/>
          <w:szCs w:val="20"/>
          <w:color w:val="auto"/>
        </w:rPr>
      </w:pPr>
    </w:p>
    <w:p>
      <w:pPr>
        <w:jc w:val="both"/>
        <w:ind w:left="720" w:hanging="370"/>
        <w:spacing w:after="0" w:line="263"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Scaling our differentiated services offerings. </w:t>
      </w:r>
      <w:r>
        <w:rPr>
          <w:rFonts w:ascii="Times New Roman" w:cs="Times New Roman" w:eastAsia="Times New Roman" w:hAnsi="Times New Roman"/>
          <w:sz w:val="20"/>
          <w:szCs w:val="20"/>
          <w:color w:val="auto"/>
        </w:rPr>
        <w:t>Our global services organization provides a comprehensive and scalable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portfolio of services that differentiates us within the industries we serve. We plan to leverage this competitive advantage to deepen our relationships with existing software, hardware and services customers and to attract new customers, both domestically and internationally.</w:t>
      </w:r>
    </w:p>
    <w:p>
      <w:pPr>
        <w:spacing w:after="0" w:line="11" w:lineRule="exact"/>
        <w:rPr>
          <w:rFonts w:ascii="Times New Roman" w:cs="Times New Roman" w:eastAsia="Times New Roman" w:hAnsi="Times New Roman"/>
          <w:sz w:val="20"/>
          <w:szCs w:val="20"/>
          <w:color w:val="auto"/>
        </w:rPr>
      </w:pPr>
    </w:p>
    <w:p>
      <w:pPr>
        <w:jc w:val="both"/>
        <w:ind w:left="720" w:hanging="370"/>
        <w:spacing w:after="0" w:line="255"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Investing in innovation to further expand our platform capabilities. </w:t>
      </w:r>
      <w:r>
        <w:rPr>
          <w:rFonts w:ascii="Times New Roman" w:cs="Times New Roman" w:eastAsia="Times New Roman" w:hAnsi="Times New Roman"/>
          <w:sz w:val="20"/>
          <w:szCs w:val="20"/>
          <w:color w:val="auto"/>
        </w:rPr>
        <w:t>We remain committed to delivering innovative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solutions that enable our customers to adapt as consumer expectations rise and industries undergo transformation. In addition to our recent efforts to modernize our platform architecture, we have made significant progress in implementing our Hardware Business Transition, whereby hardware will become a vehicle with which to deliver our platform solutions. We intend to continue to expand the features, functionality and performance of our platform, including advancements in SaaS, payment acceptance, automation, data driven insights and service delivery. We are also leveraging AI to drive innovation, accelerate implementations and lower deployment costs. We believe these innovative efforts are essential to maintaining our competitive advantage, supporting long-term customer success and driving sustainable growth across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Segments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Prior to the Spin-Off and Digital Banking Sale, the Company operated a number of reportable segments: Retail, Hospitality, Digital Banking, Payments &amp; Network and Self-Service Banking. Following the Spin-Off and Digital Banking Sale, we now manage and operate in two reportable segments: Retail and Restaurants.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Retail</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Retail segment primarily serves enterprise and mid-market retailers in the convenience &amp; fuel; grocery, drug &amp; mass merchandise; and department &amp; specialty retail industries. We offer end-to-end solutions that meet the unique needs of retailers, depending on the size of their establishments and the complexity of their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Restaurants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Restaurants segment is focused on serving restaurants and food service establishments including quick-service, table-service and fast casual restaurants of all sizes. Our restaurant offerings are designed to deliver end-to-end solutions that streamline ordering and transacting, while assisting restaurant customers with managing and optimizing their operations.</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See “Note 5—Segment Information and Concentrations” of the Notes to Consolidated Financial Statements in Item 8 of Part II of this Report for additional information about our segments, including revenues, operating expenses, operating income and a reconciliation of our segment results to income from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and Services</w:t>
      </w:r>
    </w:p>
    <w:p>
      <w:pPr>
        <w:spacing w:after="0" w:line="257"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9"/>
          <w:szCs w:val="19"/>
          <w:color w:val="auto"/>
        </w:rPr>
        <w:t>We are a platform-powered leader in unified commerce for shopping and dining, enabling retail and restaurant customers of all sizes to operate and scale at pace through our comprehensive suite of SaaS solutions. We believe our offerings provide customers with:</w:t>
      </w:r>
    </w:p>
    <w:p>
      <w:pPr>
        <w:spacing w:after="0" w:line="1" w:lineRule="exact"/>
        <w:rPr>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flexible and broad software portfolio that evolves with their business needs,</w:t>
      </w:r>
    </w:p>
    <w:p>
      <w:pPr>
        <w:spacing w:after="0" w:line="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unified management platform that enables customers to rapidly deploy better guest experiences across both digital and physical channels,</w:t>
      </w:r>
    </w:p>
    <w:p>
      <w:pPr>
        <w:spacing w:after="0" w:line="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 and resilient protection in the cloud and at the edge, safeguarding operations and minimizing the impact of network or cloud interruptions, and</w:t>
      </w:r>
    </w:p>
    <w:p>
      <w:pPr>
        <w:spacing w:after="0" w:line="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Intelligent management tools and advanced data insights that enable customers to optimize operations and increase profitability.</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620"/>
          </w:cols>
          <w:pgMar w:left="820" w:top="220" w:right="800" w:bottom="0" w:gutter="0" w:footer="0" w:header="0"/>
          <w:type w:val="continuous"/>
        </w:sectPr>
      </w:pPr>
    </w:p>
    <w:bookmarkStart w:id="7" w:name="page8"/>
    <w:bookmarkEnd w:id="7"/>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microservices-based SaaS applications are integrated into the Voyix Commerce Platform, offering retail and restaurant customers with modern and innovative solutions that evolve with the technology landscape and with the size and complexity of their business operations. These capabilities combine our flexible and intelligent commerce platform with our deep industry expertise and end-to-end payments and service offerings.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Voyix Commerce Platform</w:t>
      </w:r>
    </w:p>
    <w:p>
      <w:pPr>
        <w:spacing w:after="0" w:line="2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software portfolio of our Voyix Commerce Platform enables retail and restaurant customers - from small operators to the largest international brands - to leverage our leading unified commerce solutions. Customers can operate “online” in the cloud, with capabilities such as loyalty, online ordering, payments and advanced analytics that utilize AI. In our customers’ physical locations, they can use localized applications including, among others, point-of-sale (“POS”), self-checkout (“SCO”), kitchen, fuel and other business-critical software. With our Voyix Edge application engine, customers can replace the traditional operating system stacks that normally would run these applications with a local modern microservices environment. This enables retail stores and restaurants to operate devices and applications in their physical locations with the speed and agility of online channels and provide local resiliency. The Voyix Commerce Platform also includes comprehensive cloud management services to operate and deploy applications across cloud and physical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172085</wp:posOffset>
            </wp:positionV>
            <wp:extent cx="6743700" cy="2892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743700" cy="289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Voyix Commerce Platform includes a set of open platform enablers, each of which are foundational software services that are used by our SaaS applications. These open platform enablers are configurable to a customer’s requirements and integrate with customer and third-party systems. The platform architecture allows customers to access AI insights into near real-time business data, both in-store and from a remote location, to optimize promotional execution, predict downtime and minimize disruption. Our partner ecosystem allows customers and third-party developers to bidirectionally process data from their proprietary and third-party systems into the Voyix Commerce Platform using open application programming interfaces (“APIs”), enabling them to manage and control their operations from a centralized interface. In certain instances, we develop APIs alongside our customers and assist with other platform-related activities such as optimizing cloud and in-store resiliency, delivering pre-built infrastructure and offering white-label websites and mobile applications. The Voyix Commerce Platform also equips our customers with tools to perform advanced data analytics to drive efficiencies.</w:t>
      </w:r>
    </w:p>
    <w:p>
      <w:pPr>
        <w:spacing w:after="0" w:line="21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Voyix Commerce Platform powers our modernized, microservices-enabled SaaS applications for retail and restaurant customers across the following categories:</w:t>
      </w:r>
    </w:p>
    <w:p>
      <w:pPr>
        <w:spacing w:after="0" w:line="1" w:lineRule="exact"/>
        <w:rPr>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Ordering, Checkout &amp; Fulfillment,</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Consumer Experience, Loyalty &amp; Marketing, and</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Site Operations and Corporate Planning.</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620"/>
          </w:cols>
          <w:pgMar w:left="820" w:top="220" w:right="800" w:bottom="0" w:gutter="0" w:footer="0" w:header="0"/>
          <w:type w:val="continuous"/>
        </w:sectPr>
      </w:pPr>
    </w:p>
    <w:bookmarkStart w:id="8" w:name="page9"/>
    <w:bookmarkEnd w:id="8"/>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Ordering, Checkout &amp; Fulfillment</w:t>
      </w:r>
    </w:p>
    <w:p>
      <w:pPr>
        <w:spacing w:after="0" w:line="25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Our primary Ordering, Checkout &amp; Fulfillment solutions consist of Voyix POS, Aloha Next by Voyix and Voyix Self-Checkout, which are our retail and restaurant point-of-sale solutions and our retail self-checkout solution, respectively.</w:t>
      </w:r>
    </w:p>
    <w:p>
      <w:pPr>
        <w:spacing w:after="0" w:line="1" w:lineRule="exact"/>
        <w:rPr>
          <w:sz w:val="20"/>
          <w:szCs w:val="20"/>
          <w:color w:val="auto"/>
        </w:rPr>
      </w:pPr>
    </w:p>
    <w:p>
      <w:pPr>
        <w:jc w:val="both"/>
        <w:ind w:left="720" w:right="20" w:hanging="370"/>
        <w:spacing w:after="0" w:line="25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Point-of-Sale – Voyix POS and Aloha Next by Voyix are cloud-based or hybrid-cloud POS solutions that enable front- and back-of-house capabilities for retailers and restaurants. Within these POS offerings, we offer microservices and a modular architecture, which allows customers to tailor their POS environment to meet their unique needs. These POS offerings are natively integrated with the Voyix Commerce Platform, and our other SaaS applications further present our customers with opportunities to drive operational efficiencies, increase profitability and manage their labor and inventory.</w:t>
      </w:r>
    </w:p>
    <w:p>
      <w:pPr>
        <w:spacing w:after="0" w:line="23" w:lineRule="exact"/>
        <w:rPr>
          <w:rFonts w:ascii="Times New Roman" w:cs="Times New Roman" w:eastAsia="Times New Roman" w:hAnsi="Times New Roman"/>
          <w:sz w:val="20"/>
          <w:szCs w:val="20"/>
          <w:color w:val="auto"/>
        </w:rPr>
      </w:pPr>
    </w:p>
    <w:p>
      <w:pPr>
        <w:jc w:val="both"/>
        <w:ind w:left="720" w:right="20" w:hanging="370"/>
        <w:spacing w:after="0" w:line="25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Self-Checkout – Voyix Self-Checkout enables retail consumers to transact independently, reducing the staff required for traditional checkout processes. Our self-checkout technology integrates, among other things, bar code scanning, computer vision and radio-frequency identification (“RFID”) to improve the shopping experience. We offer self-checkout for both standalone units and a hybrid modality, which allows retailers to pivot between checkout lane types and available transaction formats. Embedded within our SCO solutions are AI capabilities, including computer vision and machine learning, that streamline item lookup, accelerate checkout times and reduce fraud.</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Each of these POS and SCO solutions, in addition to our kiosk, mobile ordering, pay-at-table and menu management offerings, can be paired with a variety of hardware options, further enhancing customer choice while delivering consistent experiences.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Consumer Experience, Loyalty &amp; Marketing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success of our customers’ businesses is partially dependent on driving consumer loyalty and offering differentiated products, services and experiences from those offered by their competitors. Within our suite of SaaS applications, we equip our retail and restaurant customers with a variety of solutions that help increase demand, loyalty and engagement. We offer dedicated and bundled SaaS applications that deliver tailored promotions campaigns, manage complex rewards programs and provide actionable marketing and operating insights. Due to our global customer base, these solutions are designed to support multiple languages and currencies, enabling customers of all sizes to adopt enterprise-grade capabilities.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Site Operations &amp; Corporate Planning</w:t>
      </w:r>
    </w:p>
    <w:p>
      <w:pPr>
        <w:spacing w:after="0" w:line="2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Site Operations &amp; Corporate Planning solutions deliver an array of advanced tools and capabilities for retail and restaurant operators to seamlessly manage in-store, back-office and corporate operations. Our customers utilize these solutions to manage their labor, inventory and supply chain, to improve communication and coordination across their operations and to leverage the powers of AI, advanced analytics and automation. Our Site Operations &amp; Corporate Planning solutions enable retail and restaurant customers to optimize their operations and automate processes to scale at pace.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Payments</w:t>
      </w:r>
    </w:p>
    <w:p>
      <w:pPr>
        <w:spacing w:after="0" w:line="25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offer end-to-end omnichannel payment capabilities integrated with our POS and SCO offerings that seek to provide seamless, secure and scalable solutions for retailers and restaurants. Our primary offerings are Voyix Connect, our cloud-native payment gateway, and Voyix Pay, our payment processing services. Our payments offerings also include physical and virtual POS touch points, such as secure payment terminals, secure hosted pay pages and web service APIs. Our solutions enable retailers and restaurants to accept a large variety of in-store and online payment transactions, including, but not limited to, credit, debit, gift cards, loyalty, fleet and fuel cards. These payment solutions also help customers boost acceptance rates and reduce chargebacks, increase security and resiliency with point-to-point encryption and multi-layer redundancy, and optimize operational efficiencies through centralized data management. To deliver a unified payments experience, we provide access to integrated reporting, analytics, configuration, alerts and monitoring within the Voyix Commerce Platform.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Services</w:t>
      </w: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Given our global presence and deep retail and restaurant service expertise, we believe we are uniquely positioned to offer a comprehensive suite of service offerings that supports and enhances our software and hardware offerings for retailers and restaurants, particularly multinational, enterprise brands. Our dedicated, highly trained professionals provide remote and on-site support for software and hardware installations, wall-to-wall technology management and support and hardware maintenance. Our primary service offerings include:</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620"/>
          </w:cols>
          <w:pgMar w:left="820" w:top="220" w:right="800" w:bottom="0" w:gutter="0" w:footer="0" w:header="0"/>
          <w:type w:val="continuous"/>
        </w:sectPr>
      </w:pPr>
    </w:p>
    <w:bookmarkStart w:id="9" w:name="page10"/>
    <w:bookmarkEnd w:id="9"/>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jc w:val="both"/>
        <w:ind w:left="720" w:right="20" w:hanging="370"/>
        <w:spacing w:after="0" w:line="268"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Professional Services. </w:t>
      </w:r>
      <w:r>
        <w:rPr>
          <w:rFonts w:ascii="Times New Roman" w:cs="Times New Roman" w:eastAsia="Times New Roman" w:hAnsi="Times New Roman"/>
          <w:sz w:val="20"/>
          <w:szCs w:val="20"/>
          <w:color w:val="auto"/>
        </w:rPr>
        <w:t>We offer software implementation and deployment services, including new installations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upgrades to existing solutions. We also provide integration, localization and optimization services and have sophisticated reporting capabilities to support the rollout and adoption of both our core solutions and value-added applications.</w:t>
      </w:r>
    </w:p>
    <w:p>
      <w:pPr>
        <w:spacing w:after="0" w:line="9" w:lineRule="exact"/>
        <w:rPr>
          <w:rFonts w:ascii="Times New Roman" w:cs="Times New Roman" w:eastAsia="Times New Roman" w:hAnsi="Times New Roman"/>
          <w:sz w:val="20"/>
          <w:szCs w:val="20"/>
          <w:color w:val="auto"/>
        </w:rPr>
      </w:pPr>
    </w:p>
    <w:p>
      <w:pPr>
        <w:jc w:val="both"/>
        <w:ind w:left="720" w:right="20" w:hanging="370"/>
        <w:spacing w:after="0" w:line="268"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Managed Services. </w:t>
      </w:r>
      <w:r>
        <w:rPr>
          <w:rFonts w:ascii="Times New Roman" w:cs="Times New Roman" w:eastAsia="Times New Roman" w:hAnsi="Times New Roman"/>
          <w:sz w:val="20"/>
          <w:szCs w:val="20"/>
          <w:color w:val="auto"/>
        </w:rPr>
        <w:t>We work with our customers to manage our platform integrations, SaaS solutions and Voyix Edge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application engine, enhancing our customers’ ability to transform their operations, centralize support, elevate guest experiences and leverage their technological capabilities.</w:t>
      </w:r>
    </w:p>
    <w:p>
      <w:pPr>
        <w:spacing w:after="0" w:line="9" w:lineRule="exact"/>
        <w:rPr>
          <w:rFonts w:ascii="Times New Roman" w:cs="Times New Roman" w:eastAsia="Times New Roman" w:hAnsi="Times New Roman"/>
          <w:sz w:val="20"/>
          <w:szCs w:val="20"/>
          <w:color w:val="auto"/>
        </w:rPr>
      </w:pPr>
    </w:p>
    <w:p>
      <w:pPr>
        <w:jc w:val="both"/>
        <w:ind w:left="720" w:right="20" w:hanging="370"/>
        <w:spacing w:after="0" w:line="259"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Connected Service Desk. </w:t>
      </w:r>
      <w:r>
        <w:rPr>
          <w:rFonts w:ascii="Times New Roman" w:cs="Times New Roman" w:eastAsia="Times New Roman" w:hAnsi="Times New Roman"/>
          <w:sz w:val="20"/>
          <w:szCs w:val="20"/>
          <w:color w:val="auto"/>
        </w:rPr>
        <w:t>Our 24/7 customer support desk service delivers services based on the information technology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infrastructure library framework for both our technology and third-party technology, in many cases providing a single point of contact for wall-to-wall store technology. Our offerings, which include, among others, incident management, problem management and change management, enhance our customers’ ability to manage complex store environments, improve technological availability and reliability and reduce friction for both store associates and consumers.</w:t>
      </w:r>
    </w:p>
    <w:p>
      <w:pPr>
        <w:spacing w:after="0" w:line="19" w:lineRule="exact"/>
        <w:rPr>
          <w:rFonts w:ascii="Times New Roman" w:cs="Times New Roman" w:eastAsia="Times New Roman" w:hAnsi="Times New Roman"/>
          <w:sz w:val="20"/>
          <w:szCs w:val="20"/>
          <w:color w:val="auto"/>
        </w:rPr>
      </w:pPr>
    </w:p>
    <w:p>
      <w:pPr>
        <w:jc w:val="both"/>
        <w:ind w:left="720" w:right="20" w:hanging="370"/>
        <w:spacing w:after="0" w:line="268"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Field Support and Deployment Services. </w:t>
      </w:r>
      <w:r>
        <w:rPr>
          <w:rFonts w:ascii="Times New Roman" w:cs="Times New Roman" w:eastAsia="Times New Roman" w:hAnsi="Times New Roman"/>
          <w:sz w:val="20"/>
          <w:szCs w:val="20"/>
          <w:color w:val="auto"/>
        </w:rPr>
        <w:t>Our global field services team performs preventative hardware maintenance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on-site break-fix services, in addition to hardware and software installations. Our expert field technicians support both our proprietary hardware and that of third parties, supported by our repair operations and vast logistics network.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Legacy Retail and Restaurant Software Offerings</w:t>
      </w:r>
    </w:p>
    <w:p>
      <w:pPr>
        <w:spacing w:after="0" w:line="2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addition to our modernized suites of microservices-based SaaS solutions and other offerings powered by the Voyix Commerce Platform, we have derived, and continue to derive, revenue from a variety of offerings, which include, hardware sales and services and revenue from software licensing and subscription arrangements relating to our legacy portfolio of retail and restaurant offerings.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Hardware</w:t>
      </w: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integrate our POS and SCO offerings, powered by the Voyix Commerce Platform, with third-party hardware solutions to deliver tailored checkout solutions that can be configured based on each customer’s needs. In addition, we offer a number of add-on peripherals that integrate with POS and SCO hardware solutions and our microservices-based SaaS solutions. These add-on peripherals include, but are not limited to, kitchen display systems, printers and ordering kiosks, cash drawers, keyboards, handheld scanners and payment terminals.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Leveraging our brand recognition and our global distribution network, we target both new and existing customers across a wide variety of sizes, industries and geographies. We make strategic investments in new products, solutions, capabilities and market-leading services to maintain the competitiveness of our offerings. We have established a strong network of direct sales and indirect channel relationships, such as value-added resellers and systems integrators, that leverages our market-leading products and services to drive growth.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compete with a diverse array of companies in the retail and restaurants industries in which we sell our software, services, payments and hardware solutions. The competitive landscape can vary by geography, but common factors that impact our ability to compete include product value and quality, total cost of ownership, industry expertise, end-to-end solution support, system integration capabilities, strategic alignment with the customers and service quality.</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competitors vary by market segment, product, service offering and geographic area. Key competitors include Aptos, Inc., Block Inc., Diebold Nixdorf, Inc., Fiserv Inc., Flooid, Fujitsu Limited, GK Software SE, Global Payments Inc., HP Inc., Lightspeed, Olo Inc., Oracle Corporation, PAR Technology Corporation, Toast, Inc., Toshiba Tec Corporation and Qu, among others.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remain focused on designing and developing solutions that anticipate our customers’ evolving needs and consumer preferences. Our expenses for research and development were $155 million in 2025, $157 million in 2024, and $139 million in 2023. We anticipate that we will continue to have significant research and development expenditures in the future to support a continuous flow of innovative, high-quality products and services and to help maintain and enhance our competitive position. Information regarding the accounting and costs included in research and development activities is included in Note 1, “Basis of Presentation and Significant Accounting Policies”, of the Notes to Consolidated Financial Statements in Item 8 of Part II of this Report under “Research and Development Costs,” and is incorporated herein by reference.</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620"/>
          </w:cols>
          <w:pgMar w:left="820" w:top="220" w:right="800" w:bottom="0" w:gutter="0" w:footer="0" w:header="0"/>
          <w:type w:val="continuous"/>
        </w:sectPr>
      </w:pPr>
    </w:p>
    <w:bookmarkStart w:id="10" w:name="page11"/>
    <w:bookmarkEnd w:id="10"/>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Creating and protecting intellectual property is strategic to our business as a global, platform-powered leader in unified commerce for retailers and restaurants. As we continue to research, create, develop and enhance our offerings, we utilize and rely on a combination of intellectual property laws (such as those relating to patents, copyrights, trademarks and trade secrets), contractual arrangements (for example, confidentiality and non-disclosures agreements, assignments, licensing agreements and other agreements containing these and other relevant terms) and our own policies, procedures and technical measures to secure, protect and maintain our intellectual property.</w:t>
      </w:r>
    </w:p>
    <w:p>
      <w:pPr>
        <w:spacing w:after="0" w:line="2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have a patent strategy and process to identify and select strategic innovations for which we apply for, obtain and maintain patent protection in the United States and in certain other countries. As of December 31, 2025, we own more than 900 patents in the United States and have numerous others in certain other countries. We also have numerous patent applications pending in the United States and in other countries, and we expect to continue pursuing patent protection to protect our intellectual property.</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also have a trademark strategy and process, whereby we apply for and obtain trademark registrations in the United States and other countries to help strengthen and protect our brands. Our most valuable trademarks are “NCR Voyix,” which is now registered in the United States, the European Union and in a number of other foreign countries, and “Voyix,” which currently is registered in certain jurisdictions and is pending elsewhere. In addition to our own use, we license some of our intellectual property to third parties when we consider it to be in our interest. We also license certain intellectual property from others as we deem appropriate.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sales have been historically seasonal, with lower revenue in the first half of each year and higher revenue in the second half of each year. Such seasonality, as well as the timing of recurring annual cash-related items may cause our working capital cash flow requirements to vary from quarter to quarter. Quarterly results are also impacted by variability in the volume, timing and mix of sales. As our revenue mix transitions towards more recurring software and services revenue, we expect that revenue will be less volatile.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Supply</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most cases, there are a number of vendors providing the services and producing the parts and components that we utilize. However, there are some services and components that are purchased from single sources due to price, quality, technology, customer requirements or other reasons. In the past, we have been able to obtain an adequate supply of raw materials and components for virtually all materials used in the production process, and we currently believe that we will be able to obtain and maintain an adequate supply in the future.</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Historically, we have leveraged a global network of third-party partners to manufacture and assemble our hardware products. Following the Hardware Business Transition, we will utilize Ennoconn as our single-source partner to supply and manufacture substantially all of our hardware products, and we will sell hardware as a sales agent of Ennoconn. In January 2026, we commenced the implementation phase of the Hardware Business Transition and began migrating certain aspects of our hardware business to Ennoconn.</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For additional information regarding the potential impact of these relationships on our business operations and the risks surrounding the sources and availability of raw materials, refer to the risks described in “Part I—Item1A—Risk Factors” in this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and Services Backlog</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Backlog includes orders confirmed for products scheduled to be shipped, as well as certain professional and transaction services to be provided. Although we believe that the orders included in the backlog are firm commitments, we may allow some orders to be canceled by the customer without penalty. Even when penalties for cancellation are provided for in a customer contract, we may elect to permit cancellation of orders without penalty where we believe it is in our best interest to do so. Further, we have product revenue derived from term-based software license arrangements that include customer termination rights and services revenue that is recurring or transaction-based business, and we do not measure backlog information for these types of transactions. Therefore, we do not believe that our backlog, as of any particular date, is necessarily indicative of revenue for any future period. However, backlog is included as a component of our remaining performance obligation to the extent we determine that the orders are non-cancelable. Refer to Note 1, “Basis of Presentation and Significant Accounting Policies”, of the Notes to Consolidated Financial Statements in Item 8 of Part II of this Report for additional information on remaining performance obligations.</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620"/>
          </w:cols>
          <w:pgMar w:left="820" w:top="220" w:right="800" w:bottom="0" w:gutter="0" w:footer="0" w:header="0"/>
          <w:type w:val="continuous"/>
        </w:sectPr>
      </w:pPr>
    </w:p>
    <w:bookmarkStart w:id="11" w:name="page12"/>
    <w:bookmarkEnd w:id="11"/>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strength and talent of our workforce are critical to our success, and we strive to attract, develop and retain personnel commensurate with the needs of our businesses. As of December 31, 2025, we had nearly 13,500 full-time employees worldwide, with approximately 25% in the Asia Pacific region; 42% in the Europe, Middle East and Africa regions; 5% in the Americas, excluding the United States; and 28% in the United States. We also engage and may continue engaging, where needed, consultants and contractors to supplement our permanent workforce. We manage our workforce in alignment with our long-term business strategy, and management believes we have sufficient human capital to operate our businesses successfully.</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During fiscal 2025, our overall headcount decreased as we continued to execute on our business strategy by optimizing our workforce and operations in connection with our transformative shift towards delivering our microservices-based suite of modernized SaaS solutions, payments solutions and service offerings to customers through the Voyix Commerce Platform. In addition, we are focused on hiring employees with the necessary skills and experience to advance our business strategy, including hiring developers and strategists with experience in AI.</w:t>
      </w:r>
    </w:p>
    <w:p>
      <w:pPr>
        <w:spacing w:after="0" w:line="2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continuously invest in our workforce by fostering a workplace culture where employees feel connected, supported and respected. We believe that a strong sense of community and connection enhances employee experiences, supports performance and enables employees to do their best work. We regularly review our people practices, policies and programs to ensure they continue to support a positive employee experience and a cohesive organizational culture.</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support culture and community building through a range of initiatives designed to strengthen relationships, encourage collaboration and foster professional growth across the organization. Our current initiatives include the following:</w:t>
      </w:r>
    </w:p>
    <w:p>
      <w:pPr>
        <w:spacing w:after="0" w:line="1" w:lineRule="exact"/>
        <w:rPr>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talent and capabilities through targeted programs designed to support career growth and skill expansion;</w:t>
      </w:r>
    </w:p>
    <w:p>
      <w:pPr>
        <w:spacing w:after="0" w:line="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Attracting, hiring and developing talent through strategic partnerships, including our targeted university network, to support a sustainable and capable workforce; and</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Supporting employee-led communities, including our Business Resource Groups and local engagement teams. These groups promote connection, collaboration and shared experiences across the organization and support employee engagement and talent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5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are subject to a variety of regulations in the United States and other jurisdictions in which we operate or where our products, solutions or services are offered. Many of these regulations are evolving and their applicability and scope, as interpreted by courts and regulators, remain uncertain. These regulations and laws involve a variety of matters, including privacy and information security, data protection, artificial intelligence (such as the EU Artificial Intelligence Act), consumer protection, anti-corruption (such as the United States Foreign Corrupt Practices Act and the United Kingdom Bribery Act), labor and employment, import and export controls, tax and environmental sustainability (including climate change).</w:t>
      </w:r>
    </w:p>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Any actual or perceived failure to comply with these requirements may result in, among other things, private litigation, regulatory or governmental investigations, administrative enforcement actions, sanctions, civil and criminal liability, monetary penalties and constraints on our ability to operate our businesses. It is also possible that current or future laws or regulations could be interpreted or applied in a manner that would prohibit, alter or impair our existing offerings, or that could require costly, time-consuming or otherwise burdensome compliance measures from us. As we continue to grow our business, additional laws, rules and regulations may become relevant. For additional information about government regulations applicable to our business, refer to the risks described in Part I, Item 1A of this Annual Report.</w:t>
      </w:r>
    </w:p>
    <w:p>
      <w:pPr>
        <w:spacing w:after="0" w:line="21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Our historical manufacturing activities and operations are subject to a wide range of environmental protection laws and we have investigatory and remedial activities underway at a number of facilities that we currently own or formerly owned or operated, to comply, or to determine compliance, with such laws. A detailed discussion of the regulatory and remedial environmental protection actions that impact the Company, particularly the Fox River and Kalamazoo River matters, is included in Item 8 of Part II of this Report as part of Note 11, “Commitments and Contingencies”, of the Notes to Consolidated Financial Statements and is incorporated herein by reference. Further information regarding the risks and potential impacts of compliance with environmental laws and regulations is also included in Part I, Item 1A of this Report.</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620"/>
          </w:cols>
          <w:pgMar w:left="820" w:top="220" w:right="800" w:bottom="0" w:gutter="0" w:footer="0" w:header="0"/>
          <w:type w:val="continuous"/>
        </w:sectPr>
      </w:pPr>
    </w:p>
    <w:bookmarkStart w:id="12" w:name="page13"/>
    <w:bookmarkEnd w:id="12"/>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This Report, and other annual reports on Form 10-K, quarterly reports on Form 10-Q, current reports on Form 8-K, amendments to these reports and other filings made with the SEC, whether filed or furnished pursuant to Section 13(a) and 15(d) of the Exchange Act, are available free of charge on our website at https://investor.ncrvoyix.com as soon as reasonably practicable after we electronically file or furnish them with the SEC.</w:t>
      </w:r>
    </w:p>
    <w:p>
      <w:pPr>
        <w:spacing w:after="0" w:line="20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Investors and others should note that we may announce material financial information to our investors using our website, SEC filings, press releases, public conference calls and websites, or a combination thereof, to achieve compliance with our Regulation FD disclosures obligations. Our website, www.ncrvoyix.com, contains a significant amount of information about the Company, including financial and other information for investors. We encourage investors to visit our website regularly, as information may be updated, and new information may be posted at any time. Information appearing on, or accessed through, our website is not a part of this Report, and our references to URLs for these websites are intended to be inactive textual references only.</w:t>
      </w:r>
    </w:p>
    <w:p>
      <w:pPr>
        <w:spacing w:after="0" w:line="2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Copies of our filings, specified exhibits and corporate governance materials are also available, free of charge by calling or writing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NCR Voyix—Investor Relations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864 Spring Street NW</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Atlanta, GA 30308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Phone: 800-225-5627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investor.relations@ncrvoyix.com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Website: https://investor.ncrvoyix.com</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620"/>
          </w:cols>
          <w:pgMar w:left="820" w:top="220" w:right="800" w:bottom="0" w:gutter="0" w:footer="0" w:header="0"/>
          <w:type w:val="continuous"/>
        </w:sectPr>
      </w:pPr>
    </w:p>
    <w:bookmarkStart w:id="13" w:name="page14"/>
    <w:bookmarkEnd w:id="13"/>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The risks and uncertainties described below are associated with our business, operations and strategy, our prior Spin-Off of NCR Atleos and our capital structure. You should consider these risk factors, together with all other information in this Report, including our financial statements and related notes thereto. These risks and uncertainties, together with other risks and uncertainties of which we are not aware of or that we do not currently believe are material, could materially and adversely affect our business, financial condition, results of operations, cause actual results to differ materially from our historical results or our expectations and projections and cause the market value of our stock to fluctuate or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is a summary of certain risks and uncertainties that could materially and adversely affect our business, financial condition and results of operations, which should be read together with the more detailed descriptions of each risk factor contained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our Strategy</w:t>
      </w:r>
    </w:p>
    <w:p>
      <w:pPr>
        <w:spacing w:after="0" w:line="34" w:lineRule="exact"/>
        <w:rPr>
          <w:sz w:val="20"/>
          <w:szCs w:val="20"/>
          <w:color w:val="auto"/>
        </w:rPr>
      </w:pPr>
    </w:p>
    <w:p>
      <w:pPr>
        <w:ind w:left="720" w:right="20" w:hanging="370"/>
        <w:spacing w:after="0" w:line="252"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achieve the successful adoption of our cloud platform and modernized SaaS solutions, then our revenue, financial condition and our results of operations could be negatively impacted.</w:t>
      </w:r>
    </w:p>
    <w:p>
      <w:pPr>
        <w:ind w:left="720" w:right="2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do not successfully develop and enhance capabilities that differentiate the solutions and services we offer and keep pace with technological advancements, then our business, financial condition and operating results may be harmed.</w:t>
      </w:r>
    </w:p>
    <w:p>
      <w:pPr>
        <w:ind w:left="72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maintain consistent, high-quality customer service and support or if we fail to manage our reputation, our brand, business and financial results may be harmed.</w:t>
      </w:r>
    </w:p>
    <w:p>
      <w:pPr>
        <w:ind w:left="720" w:right="2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achieve some or all of the expected benefits of our cost reduction initiatives and our operating results could be adversely affected.</w:t>
      </w:r>
    </w:p>
    <w:p>
      <w:pPr>
        <w:ind w:left="720" w:right="2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growth depends in part on the success of our strategic relationships with third parties and our ability to integrate with third-party applications and software.</w:t>
      </w:r>
    </w:p>
    <w:p>
      <w:pPr>
        <w:jc w:val="both"/>
        <w:ind w:left="720" w:right="20" w:hanging="370"/>
        <w:spacing w:after="0" w:line="25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realize the anticipated benefits of past and future acquisitions, divestitures and other strategic transactions and could experience unintended consequences, which might have a materially negative impact on our business, financial condition or results of operations.</w:t>
      </w:r>
    </w:p>
    <w:p>
      <w:pPr>
        <w:spacing w:after="0" w:line="1"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realize the anticipated cost savings or other benefits related to the transition of our hardware business to an outsourced design and manufacturing (ODM) model on a timely basis or at all.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the Spin-Off of NCR Atleos</w:t>
      </w:r>
    </w:p>
    <w:p>
      <w:pPr>
        <w:spacing w:after="0" w:line="34" w:lineRule="exact"/>
        <w:rPr>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Spin-Off fails to qualify for tax-free treatment, it could result in substantial tax liability for us and our stockholders.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held liable to NCR Atleos if we fail to perform under our agreements with NCR Atleos, and the performance of such services may negatively affect our business and operations.</w:t>
      </w:r>
    </w:p>
    <w:p>
      <w:pPr>
        <w:ind w:left="720" w:right="20" w:hanging="370"/>
        <w:spacing w:after="0" w:line="26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indemnification obligations to NCR Atleos or a refusal of NCR Atleos to indemnify us pursuant to agreements executed in the Spin-Off could materially adversely affect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Cybersecurity, Data Privacy and Intellectual Property</w:t>
      </w:r>
    </w:p>
    <w:p>
      <w:pPr>
        <w:spacing w:after="0" w:line="34" w:lineRule="exact"/>
        <w:rPr>
          <w:sz w:val="20"/>
          <w:szCs w:val="20"/>
          <w:color w:val="auto"/>
        </w:rPr>
      </w:pPr>
    </w:p>
    <w:p>
      <w:pPr>
        <w:ind w:left="720" w:right="20" w:hanging="370"/>
        <w:spacing w:after="0" w:line="252"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protect our systems, solutions and data from cybersecurity threats or other technological risks could adversely affect our business operations or stock price and damage our brand and reputation.</w:t>
      </w:r>
    </w:p>
    <w:p>
      <w:pPr>
        <w:ind w:left="720" w:right="2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evolving global laws and regulations relating to data privacy, data protection, information security and artificial intelligence, which may require us to incur substantial compliance costs or cause harm to our business operations.</w:t>
      </w:r>
    </w:p>
    <w:p>
      <w:pPr>
        <w:ind w:left="720" w:right="20" w:hanging="370"/>
        <w:spacing w:after="0" w:line="25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intellectual property is valuable and our inability to protect it could reduce the value of our products, services and brand and harm our competitive position.</w:t>
      </w:r>
    </w:p>
    <w:p>
      <w:pPr>
        <w:ind w:left="720" w:right="20" w:hanging="370"/>
        <w:spacing w:after="0" w:line="260"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by others that we infringe, misappropriate or otherwise violate their intellectual property rights, even those without merit, could result in significant costs and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our Business &amp; Operations</w:t>
      </w:r>
    </w:p>
    <w:p>
      <w:pPr>
        <w:spacing w:after="0" w:line="34"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extensive competition in our markets and if we do not compete effectively, we may not be successful.</w:t>
      </w:r>
    </w:p>
    <w:p>
      <w:pPr>
        <w:spacing w:after="0" w:line="13"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our data center hosting and public cloud facilities could adversely affect our business.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Defects, errors, installation difficulties or development delays could expose us to potential liability, harm our reputation and negatively impact our business.</w:t>
      </w:r>
    </w:p>
    <w:p>
      <w:pPr>
        <w:jc w:val="both"/>
        <w:ind w:left="720" w:right="20" w:hanging="370"/>
        <w:spacing w:after="0" w:line="250"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artificial intelligence in our products and operations, as well as our potential failure to effectively implement, use and market these technologies, may result in reputational harm or liability or could adversely affect our revenues and profitability.</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the availability of third-party licenses, and our inability to maintain those licenses could harm our business.</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620"/>
          </w:cols>
          <w:pgMar w:left="820" w:top="220" w:right="800" w:bottom="0" w:gutter="0" w:footer="0" w:header="0"/>
          <w:type w:val="continuous"/>
        </w:sectPr>
      </w:pPr>
    </w:p>
    <w:bookmarkStart w:id="14" w:name="page15"/>
    <w:bookmarkEnd w:id="14"/>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left="720" w:right="20" w:hanging="370"/>
        <w:spacing w:after="0" w:line="26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or foreign trade policies and other factors beyond our control may adversely impact our business and operating results.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maintain and update our information technology systems to meet the needs of our business, our business could be adversely impacted.</w:t>
      </w:r>
    </w:p>
    <w:p>
      <w:pPr>
        <w:jc w:val="both"/>
        <w:ind w:left="720" w:right="2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third-party suppliers upon which we rely to manufacture our offerings or provide us with key components and other technologies and services are unable to fulfill our needs at acceptable prices, our ability to bring our offerings to market successfully could be affected.</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uncertainties regarding regulations, lawsuits and other related matters.</w:t>
      </w:r>
    </w:p>
    <w:p>
      <w:pPr>
        <w:spacing w:after="0" w:line="10"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payments business subjects us to additional regulatory requirements and other risks and uncertainties that could be costly and difficult to comply with or that could harm our business.</w:t>
      </w: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tax rates and additional income tax liabilities could impact our profitability.</w:t>
      </w:r>
    </w:p>
    <w:p>
      <w:pPr>
        <w:spacing w:after="0" w:line="10" w:lineRule="exact"/>
        <w:rPr>
          <w:rFonts w:ascii="Times New Roman" w:cs="Times New Roman" w:eastAsia="Times New Roman" w:hAnsi="Times New Roman"/>
          <w:sz w:val="20"/>
          <w:szCs w:val="20"/>
          <w:color w:val="auto"/>
        </w:rPr>
      </w:pPr>
    </w:p>
    <w:p>
      <w:pPr>
        <w:ind w:left="72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international operations subject us to additional risks that can adversely affect our business, financial condition and results of operations.</w:t>
      </w:r>
    </w:p>
    <w:p>
      <w:pPr>
        <w:ind w:left="720" w:right="2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natural disaster or catastrophic event could have a materially adverse effect on our business, financial condition and results of operations, or have other adverse consequences.</w:t>
      </w:r>
    </w:p>
    <w:p>
      <w:pPr>
        <w:ind w:left="720" w:right="20" w:hanging="370"/>
        <w:spacing w:after="0" w:line="26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historical manufacturing activities subject us to environmental exposures which could adversely affect our financial condition and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our Finance &amp; Accounting</w:t>
      </w:r>
    </w:p>
    <w:p>
      <w:pPr>
        <w:spacing w:after="0" w:line="34" w:lineRule="exact"/>
        <w:rPr>
          <w:sz w:val="20"/>
          <w:szCs w:val="20"/>
          <w:color w:val="auto"/>
        </w:rPr>
      </w:pPr>
    </w:p>
    <w:p>
      <w:pPr>
        <w:ind w:left="720" w:right="20" w:hanging="370"/>
        <w:spacing w:after="0" w:line="252"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the documents governing our indebtedness include financial and other covenants that could restrict or limit our financial and business operations, and adversely affect our ability to incur additional debt to fund future needs.</w:t>
      </w:r>
    </w:p>
    <w:p>
      <w:pPr>
        <w:ind w:left="720" w:right="2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cash flows may not be sufficient to service our indebtedness, and if we are unable to satisfy our obligations under our indebtedness, we may be required to seek other financing alternatives, which may be unsuccessful.</w:t>
      </w:r>
    </w:p>
    <w:p>
      <w:pPr>
        <w:ind w:left="72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lowering or withdrawal of the ratings assigned to our debt securities by rating agencies may increase our future capital costs and reduce our access to capital.</w:t>
      </w:r>
    </w:p>
    <w:p>
      <w:pPr>
        <w:ind w:left="720" w:right="2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write down the value of certain significant assets, which would adversely affect our operating results.</w:t>
      </w:r>
    </w:p>
    <w:p>
      <w:pPr>
        <w:jc w:val="both"/>
        <w:ind w:left="720" w:hanging="370"/>
        <w:spacing w:after="0" w:line="255"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maintain an effective system of disclosure controls and procedures and internal control over financial reporting, then such failure could have a material adverse effect on our results of operations, financial condition and 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our Governance</w:t>
      </w:r>
    </w:p>
    <w:p>
      <w:pPr>
        <w:spacing w:after="0" w:line="34" w:lineRule="exact"/>
        <w:rPr>
          <w:sz w:val="20"/>
          <w:szCs w:val="20"/>
          <w:color w:val="auto"/>
        </w:rPr>
      </w:pPr>
    </w:p>
    <w:p>
      <w:pPr>
        <w:jc w:val="both"/>
        <w:ind w:left="720" w:hanging="37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Series A Convertible Preferred Stock has rights, preferences and privileges that are not held by, and are preferential to, the rights of our common stockholders, including with respect to dividends and liquidation, which could adversely affect our liquidity and financial condition, may result in the interests of the holders of our Series A Convertible Preferred Stock differing from those of our common stockholders, and reduces the relative voting power of holders of our common stock. In addition, the conversion of shares of Series A Convertible Preferred Stock into common stock and their subsequent sale would dilute the ownership interest of existing common stockholders and may adversely affect the market price of our common stock.</w:t>
      </w:r>
    </w:p>
    <w:p>
      <w:pPr>
        <w:spacing w:after="0" w:line="6"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subject to actions or proposals from stockholders that do not align with our business strategies or the interests of our other stockholders.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OUR STRATEGY</w:t>
      </w:r>
    </w:p>
    <w:p>
      <w:pPr>
        <w:spacing w:after="0" w:line="2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we are unable to achieve the successful adoption of our cloud platform and modernized SaaS solutions, then our revenue, financial condition and results of operations could be negatively impacted. </w:t>
      </w:r>
      <w:r>
        <w:rPr>
          <w:rFonts w:ascii="Times New Roman" w:cs="Times New Roman" w:eastAsia="Times New Roman" w:hAnsi="Times New Roman"/>
          <w:sz w:val="20"/>
          <w:szCs w:val="20"/>
          <w:color w:val="auto"/>
        </w:rPr>
        <w:t>We have taken significant steps, including the Spin-Off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NCR Atleos, the Digital Banking Sale and the Hardware Business Transition, to strategically position us for long-term growth. We have developed a modernized suite of SaaS solutions that natively integrates with our cloud-based platform in order to meet the evolving needs of our retail and restaurant customers.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Accordingly, our strategic focus has now shifted towards accelerating the adoption of the Voyix Commerce Platform and our subscription-based SaaS solutions. The successful adoption of our platform and SaaS solutions by new and existing customers is dependent on a variety of factors including, among others, the demand for, and the performance and competitive differentiation of, our platform and solutions; the timely development and deployment of new or enhanced solutions and capabilities; our ability to convert existing customers and attract new customers to our platform and solutions; our ability to expand our customers’ use of our full suite of offerings, including, among others, our payment acceptance and processing capabilities; the optimization, performance and expansion of our services offerings; and the continued expansion of third-party integrations and open platform enablers to increase the extensibility and interoperability of our platform and SaaS solutions.</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620"/>
          </w:cols>
          <w:pgMar w:left="820" w:top="220" w:right="800" w:bottom="0" w:gutter="0" w:footer="0" w:header="0"/>
          <w:type w:val="continuous"/>
        </w:sectPr>
      </w:pPr>
    </w:p>
    <w:bookmarkStart w:id="15" w:name="page16"/>
    <w:bookmarkEnd w:id="15"/>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9"/>
          <w:szCs w:val="19"/>
          <w:color w:val="auto"/>
        </w:rPr>
        <w:t>We expect to continue pursuing potential customers that are small- and medium-sized businesses by increasing our use of indirect sales channels and by developing, marketing and selling solutions aimed at such businesses. It is not certain whether these initiatives will yield the anticipated benefits or if our solutions will lead to a measurable increase in such small- and medium-sized customers.</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If we are unable to achieve the adoption of our platform by new and existing customers or cannot realize the anticipated benefits of our investments in our platform, SaaS solutions, services offerings and payment capabilities, then we may be unable to meet our growth targets, and our revenue, financial condition and results of operations could be negatively impacted.</w:t>
      </w:r>
    </w:p>
    <w:p>
      <w:pPr>
        <w:spacing w:after="0" w:line="18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we do not successfully develop and enhance capabilities that differentiate the solutions and services we offer and keep pace with technological advancements, then our business, financial condition and operating results may be harmed. </w:t>
      </w:r>
      <w:r>
        <w:rPr>
          <w:rFonts w:ascii="Times New Roman" w:cs="Times New Roman" w:eastAsia="Times New Roman" w:hAnsi="Times New Roman"/>
          <w:sz w:val="20"/>
          <w:szCs w:val="20"/>
          <w:color w:val="auto"/>
        </w:rPr>
        <w:t>The retail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restaurant markets in which we compete are characterized by rapid technological advancements, including frequent new product introductions and enhancements, increasingly sophisticated consumer needs and preferences and evolving security technology and industry standards. Our success depends in part on our ability to develop innovative or sufficiently differentiated solutions and capabilities in a timely and cost-effective manner. We have made significant investments in the development and deployment of new and innovative functionalities within our solutions, and we expect to continue allocating capital to enhance our platform, SaaS solutions and service offerings, including, among other things, acquiring and using artificial intelligence tools to assist with product development and testing and building, leasing, expanding and maintaining our cloud infrastructure. The development process for new solutions and service offerings requires high levels of innovation and can be time consuming and costly.</w:t>
      </w:r>
    </w:p>
    <w:p>
      <w:pPr>
        <w:spacing w:after="0" w:line="20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Technological advances and changes to industry or regulatory standards relating to safety and security may also impact our ability to develop, test and deliver new solutions and capabilities in a timely or efficient manner, or at all. We may fail to successfully anticipate our customers’ needs and technological and industry trends. We also may be unsuccessful in marketing and selling these solutions, once developed, which could natively impact our business and operating results.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we continue pursuing the strategic adoption of our platform and SaaS solutions by new and existing customers, our ability to timely or efficiently sunset certain legacy products may be hindered by contractual terms, market conditions, delays in the deployment of our solutions or customer preferences. In specific instances, we may have made, or may choose to make, certain assurances to our customers regarding current or future capabilities, specifications and expected service levels of our platform and solutions, which we may be unable to deliver successfully. Our financial results, reputation and long-term growth strategy could be adversely impacted if we are unable to deliver such technologies, fail to enhance our capabilities or our solutions do not perform as intended.</w:t>
      </w:r>
    </w:p>
    <w:p>
      <w:pPr>
        <w:spacing w:after="0" w:line="2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we fail to maintain consistent, high-quality customer service and support or if we fail to meet our service obligations or manage our reputation, our brand, business and financial results may be harmed. </w:t>
      </w:r>
      <w:r>
        <w:rPr>
          <w:rFonts w:ascii="Times New Roman" w:cs="Times New Roman" w:eastAsia="Times New Roman" w:hAnsi="Times New Roman"/>
          <w:sz w:val="20"/>
          <w:szCs w:val="20"/>
          <w:color w:val="auto"/>
        </w:rPr>
        <w:t>We take pride in the customer service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support that we provide to customers, and we believe these capabilities are critical to attracting new customers, retaining our existing customers and growing our business. If we are unable to maintain the high level of customer service and support that customers expect from us, including through our use of third-party service providers or by leveraging advanced technologies such as artificial intelligence, our business may be negatively impacted. To maintain sufficient service levels, we also may need to hire additional support personnel, which could increase our costs. Our sales are highly dependent on our business reputation, which is often advanced by positive recommendations given by our existing customers. Any failure to, or market perception that we do not, maintain high-quality customer support may adversely affect our reputation and brand, our ability to benefit from the network effect of referrals, our ability to cross-sell and upsell our solutions and services to existing and prospective customers and our business, financial condition or results of operations.</w:t>
      </w:r>
    </w:p>
    <w:p>
      <w:pPr>
        <w:spacing w:after="0" w:line="2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Further, certain customer agreements include service level commitments or milestones, and if we fail to meet these contractual commitments, we could face contract terminations, pay damages or be obligated to issue credits to our customers. Our failure to meet contractual service commitments also may result in customer dissatisfaction, reputational harm or the loss of customers, which could have a material adverse effect on our business and results of operations.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not achieve some or all of the expected benefits of our cost reduction initiatives and our operating results could be adversely affected. </w:t>
      </w:r>
      <w:r>
        <w:rPr>
          <w:rFonts w:ascii="Times New Roman" w:cs="Times New Roman" w:eastAsia="Times New Roman" w:hAnsi="Times New Roman"/>
          <w:sz w:val="20"/>
          <w:szCs w:val="20"/>
          <w:color w:val="auto"/>
        </w:rPr>
        <w:t>We have undertaken, and may continue undertaking, cost reduction actions in alignment with our long-term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growth strategy. We may not achieve the anticipated cost savings or operational improvements from these efforts. Such benefits may be realized later than expected, and the challenges in implementing these measures may be greater than anticipated. We may incur additional unexpected costs or experience business disruptions or delays that hinder our ability to realize the expected benefits of these initiatives. Optimizing expenses could cause us to experience a loss of continuity, loss of accumulated knowledge, loss of key employees and/or undermine our ability to attract and retain top talent. Moreover, our projections and estimates of the cost savings or other benefits are based on a number of assumptions and are subject to economic, competitive and other uncertainties,</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620"/>
          </w:cols>
          <w:pgMar w:left="820" w:top="220" w:right="800" w:bottom="0" w:gutter="0" w:footer="0" w:header="0"/>
          <w:type w:val="continuous"/>
        </w:sectPr>
      </w:pPr>
    </w:p>
    <w:bookmarkStart w:id="16" w:name="page17"/>
    <w:bookmarkEnd w:id="16"/>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some of which are beyond our control. If we do not realize the anticipated benefits and costs savings in accordance with our strategic objectives, then our business, financial condition, operating results and cash flows could be negatively impacted.</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growth depends in part on the success of our strategic relationships with third parties and our ability to integrate with third-party applications and software. </w:t>
      </w:r>
      <w:r>
        <w:rPr>
          <w:rFonts w:ascii="Times New Roman" w:cs="Times New Roman" w:eastAsia="Times New Roman" w:hAnsi="Times New Roman"/>
          <w:sz w:val="20"/>
          <w:szCs w:val="20"/>
          <w:color w:val="auto"/>
        </w:rPr>
        <w:t>We believe that the success of our platform depends, in part, on our ability to integrate data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third-party applications, software and other functionalities into the Voyix Commerce Platform, and we anticipate that the growth of our business will continue to depend on these third-party relationships, including with ordering service providers, payment processors, loyalty providers and other technology partners. Integrating third-party content, data and technology requires significant time and resources, and, in certain circumstances, third-party providers could alter the terms of their agreement or terminate their relationships with us, compete directly against us, partner with our competitors or make material changes to their businesses, solutions or services that could harm our business. We may also be adversely affected by features, changes or alterations to the governing terms of use for technologies developed by third parties, or we may fail to maintain our relationship with certain third parties which could hinder our ability to integrate with, or transfer data from, their offerings into our platform. Third parties also may refuse to partner with us or choose to limit or restrict our access to their offerings. If we cannot continue integrating existing, or fail to integrate new, third-party offerings and technologies into our platform and solutions, then we may lose existing customers to competitors or be unable to successfully compete for new business opportunities. In addition, if we lose access to certain solutions or capabilities from a particular partner or experience a significant reduction or disruption in the supply of such solutions or capabilities, then our business and operating results could be adversely impacted.</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be unable to realize the anticipated benefits of past and future acquisitions, divestitures and other strategic transactions, which might have a materially negative impact on our business, financial condition or results of operations. </w:t>
      </w:r>
      <w:r>
        <w:rPr>
          <w:rFonts w:ascii="Times New Roman" w:cs="Times New Roman" w:eastAsia="Times New Roman" w:hAnsi="Times New Roman"/>
          <w:sz w:val="20"/>
          <w:szCs w:val="20"/>
          <w:color w:val="auto"/>
        </w:rPr>
        <w:t>We have made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expect to continue to make acquisitions, divestitures and other strategic transactions to strengthen our business and position us for long-term growth. For example, we completed the Spin-Off of NCR Atleos in October 2023, and we completed the Digital Banking Sale in September 2024. We may not be able to achieve the expected strategic, financial, operational and other benefits from these transactions, among others, or the associated benefits may be delayed. We cannot predict with certainty when the benefits expected from the Spin-Off or Digital Banking Sale will occur, the extent to which such benefits will be realized or whether they will be realized at all. Even if we do realize the benefits from these and other future transactions, the costs may outweigh the benefits or could result in dis-synergies with respect to our go-forward business operations.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a smaller company after the completion of the Spin-Off and Digital Banking sale, with a less diversified portfolio of offerings and narrower business focus. As a result, we may be more vulnerable to changing market conditions and other risks impacting our operations, which could materially and adversely affect our business, financial condition and results of operations. Our smaller size may also limit our ability to absorb unforeseen costs and expenses or to withstand prolonged periods of economic uncertainty, or invest in the research and development necessary to remain competitive with our offerings.</w:t>
      </w:r>
    </w:p>
    <w:p>
      <w:pPr>
        <w:spacing w:after="0" w:line="2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may decide in the future to expand our business, portfolio of offerings and business focus through the acquisition of complementary solutions and technologies. If we are unable to complete strategic acquisitions or if such opportunities do not arise, our growth opportunities could be adversely affected. Even if we complete strategic acquisitions, we could fail to realize the anticipated growth and other objectives, or they might take longer to realize than expected. A variety of factors (such as business disruptions, integration issues, lost talent, misallocated resources and unanticipated transaction costs, among others) may adversely affect any anticipated benefits from such transactions.</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failure of any such acquisition, divestiture and other strategic transaction to perform or deliver results as expected could have a material adverse effect on our business, financial condition or operating results.</w:t>
      </w:r>
    </w:p>
    <w:p>
      <w:pPr>
        <w:spacing w:after="0" w:line="17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not realize the anticipated cost savings or other benefits related to the transition of our Hardware Business to an outsourced design and manufacturing (ODM) model on a timely basis or at all. </w:t>
      </w:r>
      <w:r>
        <w:rPr>
          <w:rFonts w:ascii="Times New Roman" w:cs="Times New Roman" w:eastAsia="Times New Roman" w:hAnsi="Times New Roman"/>
          <w:sz w:val="20"/>
          <w:szCs w:val="20"/>
          <w:color w:val="auto"/>
        </w:rPr>
        <w:t>In August 2024, we announced our entry into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commercial agreement with Ennoconn Corporation (“Ennoconn”) to transition our point-of-sale and self-checkout hardware businesses to an outsourced design and manufacturing model, including the sale of certain assets relating to these businesses (the “Hardware Business Transition”). On January 8, 2026, we announced the commencement of the implementation phase of this ODM model. We have experienced delays, and may experience additional unanticipated delays, as certain aspects of our hardware business migrate to Ennoconn. We expect to complete the Hardware Business Transition in April 2026; however, it may not be implemented successfully or within the anticipated timeline. We anticipate that, once the Hardware Business Transition is implemented, we will recognize revenue on a net basis, excluding the costs paid to Ennoconn, as a hardware point-of-sale and self-checkout sales agent. Once the implementation of the Hardware Business Transition has been completed, a substantial majority of the revenue related to the sale of hardware will no longer be recognized by us and will instead be recognized by our counterparty, which will result in a substantial decrease to our hardware-related revenue. This could have an adverse impact on our business and results of operations.</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620"/>
          </w:cols>
          <w:pgMar w:left="820" w:top="220" w:right="800" w:bottom="0" w:gutter="0" w:footer="0" w:header="0"/>
          <w:type w:val="continuous"/>
        </w:sectPr>
      </w:pPr>
    </w:p>
    <w:bookmarkStart w:id="17" w:name="page18"/>
    <w:bookmarkEnd w:id="17"/>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also expect to reduce hardware-related costs in connection with the Hardware Business Transition. However, if we are unable to reduce costs in connection with the Hardware Business Transition or if the Hardware Business Transition has an adverse impact on our hardware sales or customer relationships, our future operating results and financial condition may be negatively impacted.</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addition, as a result of the Hardware Business Transition, Ennoconn will design, manufacture, warrant, supply, and ship self-checkout and point-of sale hardware directly to our customers. If Ennoconn fails to deliver on their commitments or otherwise breaches its obligations to our customers, then our reputation and our customer relationships may be harmed which may adversely impact our results of operations and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THE SPIN-OFF OF NCR ATLEOS</w:t>
      </w:r>
    </w:p>
    <w:p>
      <w:pPr>
        <w:spacing w:after="0" w:line="2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the Spin-Off fails to qualify for tax-free treatment, it could result in substantial tax liability for us and our stockholders.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received an opinion of counsel to the effect that, for U.S. federal income tax purposes, the Spin-Off qualifies for tax-free treatment under certain sections of the Internal Revenue Code. However, the opinion relies on certain facts, assumptions, representations and undertakings from us and NCR Atleos, including those regarding the past and future conduct of the companies’ respective businesses and other matters, and the opinion would not be valid if such assumptions, representations and undertakings were incorrect. Furthermore, the opinion is not binding on the Internal Revenue Service (“IRS”) or the courts. If the Spin-Off is determined to be taxable for U.S. federal income tax purposes, we and our stockholders that are subject to U.S. federal income tax could incur significant U.S. federal income tax liabilities. Even if the Spin-Off otherwise qualifies as a tax-free transaction, the distribution would be taxable to us (but not to our stockholders) in certain circumstances if future significant acquisitions of our stock or the stock of NCR Atleos are determined to be part of a plan or series of related transactions that included the Spin-Off. In this event, the resulting tax liability could be substantial. In connection with the Spin-Off, we entered into a Tax Matters Agreement with NCR Atleos, pursuant to which NCR Atleos agreed to not enter into any transaction that could cause the Spin-Off or any related transactions to be taxable to us without our consent and to indemnify us for any tax liability resulting from any such transaction. In addition, these potential tax liabilities may discourage, delay or prevent a change of control of us.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may be held liable to NCR Atleos if we fail to perform under our agreements with NCR Atleos, and the performance of such services may negatively affect our business and operations</w:t>
      </w:r>
      <w:r>
        <w:rPr>
          <w:rFonts w:ascii="Times New Roman" w:cs="Times New Roman" w:eastAsia="Times New Roman" w:hAnsi="Times New Roman"/>
          <w:sz w:val="20"/>
          <w:szCs w:val="20"/>
          <w:color w:val="auto"/>
        </w:rPr>
        <w:t>. In connection with the Spin-Off, we and NCR Atleos entered into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separation and distribution agreement and various other agreements (including a transition services agreement, tax matters agreement, employee matters agreement, patent and technology cross-license agreement, trademark license and use agreement, master services agreement) that provide for the performance of certain services by each company for the benefit of the other for a period of time after the Spin-Off. While many of the performance obligations of the Company and NCR Atleos have been satisfied or have otherwise expired, if we do not satisfactorily perform our remaining obligations under these agreements, we may be held liable for any resulting losses suffered by NCR Atleos, subject to certain limits.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Potential indemnification obligations to NCR Atleos or a refusal of NCR Atleos to indemnify us pursuant to agreements executed in the Spin-Off could materially adversely affect us. </w:t>
      </w:r>
      <w:r>
        <w:rPr>
          <w:rFonts w:ascii="Times New Roman" w:cs="Times New Roman" w:eastAsia="Times New Roman" w:hAnsi="Times New Roman"/>
          <w:sz w:val="20"/>
          <w:szCs w:val="20"/>
          <w:color w:val="auto"/>
        </w:rPr>
        <w:t>Pursuant to the separation and distribution agreement and certain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agreements we entered into with NCR Atleos in connection with the Spin-Off, the Company and NCR Atleos have agreed to indemnify the other for certain liabilities. The indemnities from NCR Atleos for our benefit may not be sufficient to protect us against the full amount of such liabilities, and NCR Atleos may not be able to fully satisfy its indemnification obligations. Moreover, even if we ultimately succeed in recovering from NCR Atleos any amounts for which we are held liable, we may be temporarily required to bear these losses ourselves. In addition, our indemnity obligations to NCR Atleos may be significant. Each of these risks could negatively affect our business, financial condition or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CYBERSECURITY, DATA PRIVACY AND INTELLECTUAL PROPERTY</w:t>
      </w:r>
    </w:p>
    <w:p>
      <w:pPr>
        <w:spacing w:after="0" w:line="24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inability to protect our systems, solutions and data from cybersecurity threats or other technological risks could adversely affect our business operations or stock price and damage our brand and reputation</w:t>
      </w:r>
      <w:r>
        <w:rPr>
          <w:rFonts w:ascii="Times New Roman" w:cs="Times New Roman" w:eastAsia="Times New Roman" w:hAnsi="Times New Roman"/>
          <w:sz w:val="20"/>
          <w:szCs w:val="20"/>
          <w:color w:val="auto"/>
        </w:rPr>
        <w:t>. As we operate our business, we obtain,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process and, in some cases, store sensitive business and personal information, including, but not limited to, information related to our customers, their end-users and their transactions. We also have access to certain transactional and personal data of our customers and their consumers due to the proprietary or third-party products, solutions and service offerings we provide. Additionally, we collect, process and store certain personal data of our employees and independent contractors or third-party consultants in the ordinary course of business. We face a variety of risks, including to our reputation, relating to the handling, securing and protection of such information, and these risks will increase as our business grows.</w:t>
      </w:r>
    </w:p>
    <w:p>
      <w:pPr>
        <w:spacing w:after="0" w:line="20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While we have programs and measures in place that are designed to protect and safeguard our data and the third-party data we collect, store and process, and while we have implemented access controls designed to limit the risk of unauthorized use or</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620"/>
          </w:cols>
          <w:pgMar w:left="820" w:top="220" w:right="800" w:bottom="0" w:gutter="0" w:footer="0" w:header="0"/>
          <w:type w:val="continuous"/>
        </w:sectPr>
      </w:pPr>
    </w:p>
    <w:bookmarkStart w:id="18" w:name="page19"/>
    <w:bookmarkEnd w:id="18"/>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disclosure by employees and contractors, the techniques used to prevent access or obtain unauthorized access to data are complex and evolving as threat actors adopt new and emerging technologies. For example, threat actors are increasingly using artificial intelligence and machine learning to develop and deploy techniques that enhance their likelihood of success at penetrating or bypassing security measures, compromising and disrupting systems and exploiting vulnerabilities. These threat actors are increasingly sophisticated, and they have increasingly targeted employees, contractors, service providers and third parties through evolving techniques, including through social engineering and/or misrepresentation (such as phishing attempts and similar techniques). An attack, disruption, intrusion, denial of service, theft, misuse or other breach, or an inadvertent act by an employee or contractor, could result in unauthorized access to, disclosure of, or prevent or access to, our data or third-party data we collect, store or process, resulting in claims, costs and reputational harm that could negatively affect our operating results or stock price.</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Like most companies, we are regularly subject to attempts by third parties (which may include individuals or groups of hackers and sophisticated organizations, such as state-sponsored organizations, nation-states and individuals sponsored by them) to identify and exploit system vulnerabilities or to penetrate or bypass our security measures to gain unauthorized access to our networks and systems. We anticipate that we will continue to be increasingly subject to such attempts given the nature of our business and as cyberattacks become more sophisticated and difficult to predict and protect against. Successful attempts by one of these malicious actors could lead to the compromise of personal information or the confidential data of us or our customers. Attempts of this nature typically involve technology-related viruses, worms and other malicious software programs that attack networks, systems, products and services, exploit potential security vulnerabilities, create system disruptions and cause shutdowns or denials of service. Our products and services may also be accessed or modified improperly as a result of customer, partner, employee, contractor or supplier error or malfeasance.</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have administrative, technical, organizational and physical security measures in place to defend against intrusions and attacks and to protect our information. However, we have experienced security incidents in the past, and we may face additional security incidents in the future.</w:t>
      </w:r>
    </w:p>
    <w:p>
      <w:pPr>
        <w:spacing w:after="0" w:line="19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April 2023, we determined that a single data center outage impacting certain of our customers was caused by a cyber ransomware incident. Following an extensive investigation which included Company experts, external forensic cybersecurity experts and federal law enforcement, among others, we concluded that the incident impacted operations for some customers only with respect to specific Aloha cloud-based services and Counterpoint. Functionality was fully restored to all impacted customers, and we built a new cloud environment to host the affected applications. We have incurred certain expenses related to this cyber ransomware incident and may incur additional costs in the future, including payment of damages or other costs to customers or others.</w:t>
      </w:r>
    </w:p>
    <w:p>
      <w:pPr>
        <w:spacing w:after="0" w:line="2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Because the techniques used to obtain unauthorized access to, or sabotage technology systems, change frequently, grow more complex over time and generally are not recognized until a cyberattack is launched against a target, we may be unable to anticipate or implement the measures needed to prevent such techniques. In addition, a cyberattack, vulnerability exploitation or other security incident could remain undetected and persist in our environments or those of our customers, partners and other third parties for an extended period of time. Future security incidents may not be prevented or remediated, and the cost associated with responding to any such incident may be significant.</w:t>
      </w:r>
    </w:p>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If any security or data breach or significant denial-of-service attack or other cyberattack involving our systems, our customers’ data or the systems of third parties that store or process our data or that of our customers occurs or is believed to have occurred, our reputation and brand could be significantly damaged, and we could be required to expend significant capital and other resources to address problems caused by any such actual or perceived event and to remediate our systems. In addition, we could be exposed to business losses, litigation, regulatory action or other liabilities and our ability to operate our business may be impaired. While we maintain cybersecurity insurance, there can be no assurance that our insurance will cover any or all of losses we incur in connection with any cybersecurity incident.</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are subject to evolving global laws and regulations relating to data privacy, data protection, information security and artificial intelligence, which may require us to incur substantial compliance costs or cause harm to our business operations. </w:t>
      </w:r>
      <w:r>
        <w:rPr>
          <w:rFonts w:ascii="Times New Roman" w:cs="Times New Roman" w:eastAsia="Times New Roman" w:hAnsi="Times New Roman"/>
          <w:sz w:val="20"/>
          <w:szCs w:val="20"/>
          <w:color w:val="auto"/>
        </w:rPr>
        <w:t>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addition to the risks described above relating to cybersecurity threats or other technology risks, our data processing activities subject us to numerous data privacy and security laws and regulations in many jurisdictions. Federal, state and local governments in the United States have enacted numerous data privacy and security laws, including data breach notification laws, personal data privacy laws, consumer protection laws and other similar laws. For example, the California Consumer Privacy Act of 2018, as amended by the California Privacy Rights Act of 2020 (collectively, “CCPA”), applies to the personal information of consumers, business representatives and employees who are California residents and requires businesses to provide specific disclosures in privacy notices and to honor requests made by individuals to exercise certain privacy-related rights. The CCPA provides for administrative fines of up to $7,500 per violation and permits private litigants affected by certain data breaches to recover significant statutory</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620"/>
          </w:cols>
          <w:pgMar w:left="820" w:top="220" w:right="800" w:bottom="0" w:gutter="0" w:footer="0" w:header="0"/>
          <w:type w:val="continuous"/>
        </w:sectPr>
      </w:pPr>
    </w:p>
    <w:bookmarkStart w:id="19" w:name="page20"/>
    <w:bookmarkEnd w:id="19"/>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damages. A number of other states, such as Virginia and Colorado, also have passed comprehensive privacy laws, and similar laws are being considered in other states and municipalities and by the federal government.</w:t>
      </w:r>
    </w:p>
    <w:p>
      <w:pPr>
        <w:spacing w:after="0" w:line="18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Outside the United States, the number of laws, regulations and industry standards governing data privacy and security is increasing. The European Union’s General Data Protection Regulation (“EU GDPR”), the United Kingdom’s General Data Protection Regulation and Brazil’s General Data Protection Law impose strict requirements for processing the personal data of individuals. Violations of these laws could cause us to incur significant fines, penalties, claims by regulators or other third-party lawsuits alleging significant damages and may damage our brand and business. For example, under EU GDPR, the authorities may impose fines of up to the greater of €20 million or 4% of an organization’s global revenue, or they could limit our ability to process personal data. As foreign jurisdictions continue to enact and modify their data privacy laws, maintaining compliance with differing data privacy standards will become more complex, and it is possible that these laws will be interpreted and applied inconsistently, or in a manner that is inconsistent or conflicts with our existing data privacy practices. Changing our policies and practices to achieve compliance may be onerous and costly, and we may not be able to respond timely or effectively to regulatory, legislative and other developments. These required changes could impair our ability to offer existing or planned features, solutions and services, and they also may increase our cost of doing business. Any actual or perceived failure by us or any third parties with which we do business to achieve compliance with our posted privacy statements or notices, changing consumer expectations, evolving regulations, industry standards or contractual obligations may result in actions or other claims against us by governmental entities or private actors or cause us to incur significant fines or other liabilities. Any such actions, particularly to the extent we were found to have engaged in violations or are found otherwise liable for damages, could result in the expenditure of substantial resources and could also adversely affect our business, financial condition, and results of operations.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the legal and regulatory landscape relating to the use of artificial intelligence, machine learning and other automated decision-making capabilities continues to evolve, and there is uncertainty regarding the scope and timing of the adoption of these new and existing laws and regulations. For example, the European Union has adopted the EU Artificial Intelligence Act, which is currently in its implementation phase. The United States, at federal, state and local levels, is considering new artificial intelligence-related laws and regulations. The EU Artificial Intelligence Act and any other new legal frameworks could require us to comply with burdensome, and potentially conflicting, requirements, depending on the nature and categorization of artificial intelligence. As a result, our adoption and use of artificial intelligence within our commercial offerings and internal operations may require us to expend resources and other costs in order to achieve compliance, cause us to incur regulatory fines and/or penalties, or otherwise cause us to change our commercial offerings and features, which could harm our business, financial condition and operating results.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intellectual property is valuable, and our inability to protect it could reduce the value of our products, services and brand and harm our competitive position. </w:t>
      </w:r>
      <w:r>
        <w:rPr>
          <w:rFonts w:ascii="Times New Roman" w:cs="Times New Roman" w:eastAsia="Times New Roman" w:hAnsi="Times New Roman"/>
          <w:sz w:val="20"/>
          <w:szCs w:val="20"/>
          <w:color w:val="auto"/>
        </w:rPr>
        <w:t>Our creations, developments and technology and our copyrights, trade secrets, trademarks,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patents and other intellectual property rights (collectively, our “IP”) are important assets for us and our business, and it is critical to our strategy that we protect and can leverage our IP. We own more than 900 patents in the United States and have numerous others in foreign countries. We own the trademarks, including having registrations for “NCR Voyix” and "Voyix" as well as certain other trademarks relating to our products and services. We rely on, and expect to continue to rely on, copyright, trade secret, trademark, patent and other intellectual property laws in the United States and internationally to protect our IP and brand. However, a variety of factors outside our control pose a threat to our IP rights.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may fail to obtain or maintain effective IP protection, or the efforts we have taken to protect our IP may not be sufficient or effective. Our intellectual property rights also may be challenged, which could result in them being narrowed in scope or declared invalid or unenforceable. Despite our efforts to protect our IP, there can be no assurance they will be sufficient to protect against others offering products or services that are substantially similar to ours or that unauthorized parties will not attempt to copy, use, misappropriate or disclose our IP, including information that we consider confidential or proprietary. Unauthorized third parties may try to copy or reverse engineer our offerings or portions thereof, or they may seek to obtain and use our IP to create offerings that compete with ours. Third parties potentially could obtain patents relating to innovations that overlap or compete with our offerings. If third parties obtain patent protection with respect to such innovations, they might assert, and have in the past asserted, that our products or services infringe on their patents, and they may seek to charge us a licensing fee or otherwise preclude the use of our products or services or file suit against us. In addition, third parties may seek to use our trademarks without our authorization, and our trademarks may not provide us with any competitive advantages or successfully distinguish our offerings from those of our competitors or prevent third parties from using them or similar trademarks or brands. Obtaining, defending and maintaining our IP is expensive and time-consuming. We may fail to properly obtain, defend and maintain our new and existing IP, which could hurt our market position and business opportunities. Possible future changes to U.S. or foreign intellectual property laws and regulations may jeopardize the enforceability, validity or scope of our intellectual property rights and harm our ability to obtain protection. We also may not be able to protect or enforce our IP if we do not detect the unauthorized use of our IP.</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620"/>
          </w:cols>
          <w:pgMar w:left="820" w:top="220" w:right="800" w:bottom="0" w:gutter="0" w:footer="0" w:header="0"/>
          <w:type w:val="continuous"/>
        </w:sectPr>
      </w:pPr>
    </w:p>
    <w:bookmarkStart w:id="20" w:name="page21"/>
    <w:bookmarkEnd w:id="20"/>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Effective IP protection may not be available in every country where our products and services are offered or may be offered in the future, and the laws of certain foreign jurisdictions may not recognize certain intellectual property rights or protect them to the same extent as the laws of the United States. Changes in, or unexpected interpretations of, intellectual property laws may compromise our ability to enforce our intellectual property rights, or such changes could jeopardize the validity, enforceability or scope of our IP rights or harm our ability to obtain IP protections.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Failure to obtain or maintain protection of our confidential information or other proprietary information (including trade secrets and know-how) could harm our competitive position and materially and adversely affect our business, financial condition and results of operations. We rely on intellectual property rights, such as copyrights and trade secrets, to protect our confidential information, know-how, technical information and other proprietary information. We also rely on and enter into agreements, such as confidentiality and nondisclosure agreements, with employees, contractors, consultants and other third parties who may access our confidential or other proprietary information (such as trade secrets and know-how), which place certain restrictions on the use and disclosure of our IP. We enter into intellectual property assignment agreements with our employees, contractors and consultants. We cannot guarantee that we have entered into such agreements with every individual or entity that may have or have had access to our confidential or proprietary information or that individuals or entities may not assert rights to our IP. Even where such agreements exist, it is possible that they may be insufficient or breached, and it is possible that our IP or our confidential and proprietary information could otherwise be disclosed or become known to our competitors, which could cause us to lose our competitive advantages. We may not be able to obtain adequate remedies for such breaches. Additionally, to the extent that our employees, contractors, consultants or other third parties with whom we do business use intellectual property owned by others in their work for us, disputes could arise with respect to the use of that intellectual property.</w:t>
      </w:r>
    </w:p>
    <w:p>
      <w:pPr>
        <w:spacing w:after="0" w:line="2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To counter infringement, misappropriation or unauthorized use of our IP, we may deem it necessary to file claims, which can be expensive and time consuming. Any efforts to enforce our intellectual property rights through litigation may be met with defenses, counterclaims and countersuits attacking the validity and enforceability of our rights. Furthermore, because of the substantial amount of discovery required in connection with such litigation, there is a risk that some of our confidential and proprietary information could be compromised during such litigation.</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Claims by others that we infringe, misappropriate or otherwise violate their intellectual property rights, even those without merit, could result in significant costs and adversely affect our business, financial condition and results of operations. </w:t>
      </w:r>
      <w:r>
        <w:rPr>
          <w:rFonts w:ascii="Times New Roman" w:cs="Times New Roman" w:eastAsia="Times New Roman" w:hAnsi="Times New Roman"/>
          <w:sz w:val="20"/>
          <w:szCs w:val="20"/>
          <w:color w:val="auto"/>
        </w:rPr>
        <w:t>A large number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patents and other intellectual property rights exist in our industry and technology companies frequently enter into litigation based on allegations of patent infringement or other violations of intellectual property rights. We are subject to, and may be subject in the future, to claims by third parties that we have infringed, misappropriated or otherwise violated their intellectual property rights. As we face increasing competition, the possibility of such claims against us may increase. This risk has been amplified by the increase in patent holding companies that seek to monetize patents they have purchased or otherwise obtained and whose sole or primary business is to assert such claims.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Claims of infringement, misappropriation or other violations of intellectual property rights made by a third party, even those without merit and regardless of the outcome, could cause us to incur substantial costs defending against the claim. The outcome of such claims is often uncertain, and there can be no assurance that we will successfully defend against these claims. An adverse outcome of an IP dispute may require us to do one or more of the following: pay substantial monetary damages; stop selling or licensing some or all of our commercial offerings; enter into a fee-bearing licensing agreement that we would not normally find acceptable; cause a delay to the development of certain product or service offerings; redesign our platform, some or all of our commercial offerings, and/or any embedded technology thereto, in order to not violate such intellectual property right; or delay the development of, or hinder our ability to further develop, our platform, commercial offerings and/or any embedded technology thereto. Each of the foregoing could require significant effort and expense and adversely affect our business, financial condition and results of operations.</w:t>
      </w:r>
    </w:p>
    <w:p>
      <w:pPr>
        <w:spacing w:after="0" w:line="21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many of our agreements with customers, we agree to indemnify them with respect to claims by third parties that our products or services infringe, misappropriate or otherwise violate third-party intellectual property rights. From time to time, customers have requested, and may in the future request, us to indemnify them for such claims. The obligations, liability and risks we could face depend on the scope and limitations of the indemnification we have provided. Any such claims from our customers could result in substantial liabilities, reputational harm or the delay or loss of market acceptance of our platform and commercial offerings, which could have adverse effects on our relationships with such customers.</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620"/>
          </w:cols>
          <w:pgMar w:left="820" w:top="220" w:right="800" w:bottom="0" w:gutter="0" w:footer="0" w:header="0"/>
          <w:type w:val="continuous"/>
        </w:sectPr>
      </w:pPr>
    </w:p>
    <w:bookmarkStart w:id="21" w:name="page22"/>
    <w:bookmarkEnd w:id="21"/>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OUR BUSINESS AND OPERATIONS</w:t>
      </w:r>
    </w:p>
    <w:p>
      <w:pPr>
        <w:spacing w:after="0" w:line="25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face extensive competition in our markets and if we do not compete effectively, we may not be successful. </w:t>
      </w:r>
      <w:r>
        <w:rPr>
          <w:rFonts w:ascii="Times New Roman" w:cs="Times New Roman" w:eastAsia="Times New Roman" w:hAnsi="Times New Roman"/>
          <w:sz w:val="20"/>
          <w:szCs w:val="20"/>
          <w:color w:val="auto"/>
        </w:rPr>
        <w:t>We face intense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competition in the retail and restaurant markets in which we sell our commercial offerings. Our competitors range from large and established entities to emerging start-ups. Our competitors also include other large companies in the information technology industry, many of which have more financial and technical resources than we do. Our competitors may introduce superior products and services, successfully use and deploy new technologies such as artificial intelligence that may reduce customer demand for our offerings, reduce prices, have greater technical, marketing and other resources, have greater name recognition, have larger installed bases of customers, have well-established relationships with our current and potential customers, advertise aggressively or beat us to market with new products and services.</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Our business and operating performance could also be impacted by changes to our competitive landscape, such as industry consolidation, or the entry of new competitors and technologies. Competitive offerings and pricing pressures may cause us to experience lower customer satisfaction, decreased demand for our solutions, lost market share and reduced operating profits.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Disruptions in our data center hosting and public cloud facilities could adversely affect our business</w:t>
      </w:r>
      <w:r>
        <w:rPr>
          <w:rFonts w:ascii="Times New Roman" w:cs="Times New Roman" w:eastAsia="Times New Roman" w:hAnsi="Times New Roman"/>
          <w:sz w:val="20"/>
          <w:szCs w:val="20"/>
          <w:color w:val="auto"/>
        </w:rPr>
        <w:t>. Many of our commercial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offerings are delivered to customers through the cloud or in data centers hosted by us or third parties in the United States and other countries. In addition, certain applications and data that we use in our services offerings and our internal operations may be hosted or stored in the cloud or at a data center. Cloud instances and data centers may be vulnerable to cybersecurity attacks or incidents, security events, hardware or software failures, human error, natural disasters, telecommunications failures or similar events, or to armed conflicts or intentional acts of misconduct, or interference (including, but not limited to, by disgruntled employees, former employees or contractors). The occurrence of these events or acts, or any other unanticipated problems, in a cloud instance or at a data center we use could result in damage to, lockout of or the unavailability of these cloud hosting facilities. Despite our disaster recovery and business continuity arrangements, such damage or unavailability could interrupt the availability of our commercial offerings for our customers, which could severely impact their operations. Our business operations and those of our customers rely heavily on the continuous availability and proper functioning of our platform, offerings and network. Any significant disruption, system downtime or network lockout could significantly impact our customers’ operations. We have experienced such interruptions and unavailability, which have affected the availability of our applications and data. Interruptions in the availability of our data center or cloud offerings could cause us to fail to meet contracted service level thresholds and may require us to issue credits, or pay damages or penalties to customers or cause customers to terminate or not renew their contracts. Interruptions could also expose us to other liability claims from customers and third parties, payment of damages or other amounts, negative publicity and the need to engage in costly remediation efforts, any of which could negatively impact our business and reduce our revenue. Although we have taken steps to mitigate these risks, we can provide no assurance that these measures would be sufficient to prevent or mitigate the impact of a prolonged disruption or that we would not experience material losses if such an event was to occur.</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Defects, errors, installation difficulties or development delays could expose us to potential liability, harm our reputation and negatively impact our business. </w:t>
      </w:r>
      <w:r>
        <w:rPr>
          <w:rFonts w:ascii="Times New Roman" w:cs="Times New Roman" w:eastAsia="Times New Roman" w:hAnsi="Times New Roman"/>
          <w:sz w:val="20"/>
          <w:szCs w:val="20"/>
          <w:color w:val="auto"/>
        </w:rPr>
        <w:t>Many of our commercial offerings are sophisticated and complex, and they may incorporate or rely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upon third-party hardware, software and data. Despite testing and quality control, we cannot be certain that defects or errors will not be found in our offerings. If our offerings contain undetected defects or errors, or otherwise fail to perform as intended or to meet our customers’ expectations, we could lose customers and incur contractual liabilities and additional development costs. If defects or errors delay or complicate product installations, we could experience delays in payment for our products and services or an increase in our incremental costs. In addition, customers license and deploy our software in both standard and non-standard configurations and across a variety of different environments, computer platforms, system management software and equipment and networking configurations, any of which could increase the likelihood of technical difficulties. Our products may be integrated with other components or software, and, in the event that there are defects or errors, it may be difficult to determine the origin of such defects or errors. If these risks materialize, they could result in additional costs and expenses, exposure to liability claims, diversion of technical and other resources, loss of customers or negative publicity, each of which could negatively impact our business and operating results.</w:t>
      </w:r>
    </w:p>
    <w:p>
      <w:pPr>
        <w:spacing w:after="0" w:line="20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Our use of artificial intelligence in our products and operations, as well as our potential failure to effectively implement, use and market these technologies, may result in reputational harm or liability or could adversely affect our revenues and profitability.</w:t>
      </w: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We are increasingly incorporating artificial intelligence (AI) capabilities in our product and solutions offerings, as well as in our own business operations. AI technology is complex and rapidly evolving, and may subject us to significant competitive, legal, regulatory, operational and other risks. The implementation of AI can be costly, and there is no guarantee that our use of AI will enhance our technologies, benefit our business operations or produce products and services that are competitive. Our competitors may incorporate AI technology into their products, offerings and solutions more quickly or more successfully than we do, which could impair our ability to compete effectively. Further, our products and solutions which incorporate AI technologies may not</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620"/>
          </w:cols>
          <w:pgMar w:left="820" w:top="220" w:right="800" w:bottom="0" w:gutter="0" w:footer="0" w:header="0"/>
          <w:type w:val="continuous"/>
        </w:sectPr>
      </w:pPr>
    </w:p>
    <w:bookmarkStart w:id="22" w:name="page23"/>
    <w:bookmarkEnd w:id="22"/>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function as designed or have unintended consequences, which could subject us to new or enhanced competitive harm, legal liability, regulatory or public scrutiny or reputational harm.</w:t>
      </w:r>
    </w:p>
    <w:p>
      <w:pPr>
        <w:spacing w:after="0" w:line="2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addition, our use of AI is subject to various risks including the use of personal information, flaws in models or datasets that may result in biased or inaccurate results and our ability to safely deploy and implement governance and controls for AI systems. Additionally, laws and regulations related to automated decision making, AI and machine learning are still evolving and there is uncertainty as to new laws and regulations that will be adopted and the application of existing laws and regulations. For example, the European Union has adopted the EU Artificial Intelligence Act and in the United States, new AI-related laws and rulemakings are underway or being proposed at the federal, state and local levels. The EU Artificial Intelligence Act and any other new regulations could require us to comply with various burdensome requirements depending on the nature and categorization of AI. This may result in expending resources and additional costs to comply with these requirements or change our products or features, which could harm our business.</w:t>
      </w:r>
    </w:p>
    <w:p>
      <w:pPr>
        <w:spacing w:after="0" w:line="19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intellectual property ownership and license rights, including copyright, surrounding AI technologies have not been fully addressed by regulations, laws or courts and the adoption of third-party AI technologies into our business operations, products and services may result in exposure to claims of copyright infringement or other intellectual property misappropriation, as well as potential liability to customers. Adverse consequences of these risks related to artificial intelligence could subject us to competitive harm, legal liability, heightened regulatory scrutiny and brand or reputational harm.</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the AI legal and regulatory landscape evolves over time, we may incur significant costs to achieve compliance and ensure responsible use, or we could experience limitations on our ability to use AI internally or within our offerings. Our adoption of AI within our offerings and internal operations may result in unanticipated liabilities, costs or regulatory fines, or we may not realize the expected benefits of our investment into AI capabilities, leading to material harm to our business, reputation, financial condition and operating results.</w:t>
      </w:r>
    </w:p>
    <w:p>
      <w:pPr>
        <w:spacing w:after="0" w:line="19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rely on the availability of third-party licenses, and our inability to maintain those licenses could harm our business. </w:t>
      </w: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number of our commercial offerings include software or other IP licensed from third parties. It may be necessary in the future to renew such third-party licenses or to seek new licenses to expand our use to our current or future offerings. The necessary licenses may not be available on acceptable terms, if at all. In addition, a number of our commercial offerings are dependent upon the use of certain open-source software, and we expect to continue using open-source software in the future. Open-source software is generally licensed by its authors or other third parties under open-source licenses.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inability to obtain certain licenses or other rights, failure to obtain such licenses or rights on reasonable terms or involvement in any third-party disputes regarding these matters, could result in delays in our product releases until equivalent technology can be identified, licensed or developed, if at all, and integrated into our products. In addition, such events may cause us to incur significant license fees which could have an adverse effect on our business, operating results and financial condition.</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If an author, a third party or one of our license counterparties were to allege that we failed to comply with the conditions of a license, we could be required to incur significant legal expenses, be subject to damages or equitable remedies, be required to purchase a costly license, or be required to devote additional development resources to change our software.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Changes in U.S. or foreign trade policies and other factors beyond our control may adversely impact our business and operating results. </w:t>
      </w:r>
      <w:r>
        <w:rPr>
          <w:rFonts w:ascii="Times New Roman" w:cs="Times New Roman" w:eastAsia="Times New Roman" w:hAnsi="Times New Roman"/>
          <w:sz w:val="20"/>
          <w:szCs w:val="20"/>
          <w:color w:val="auto"/>
        </w:rPr>
        <w:t>Geopolitical tensions and trade disputes can disrupt supply chains, increase our vendor costs, and increase the costs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offerings. This could cause our offerings to be more expensive for customers, resulting in their reduced demand. A geopolitical conflict in a region where we operate could disrupt our business operations in that region. Countries also could adopt restrictive trade measures, such as tariffs, laws and regulations concerning investments and limitations on foreign ownership of businesses, taxation, foreign exchange controls, capital controls, employment regulations, the repatriation of earnings and import and export controls, any of which could adversely affect our operations and supply chain and limit our ability to sell our offerings at competitive prices, or at all. Changes in laws, policies or treaties governing the terms of foreign trade, and in particular increased trade restrictions, tariffs or taxes on imports from countries where our products are manufactured or assembled or from where we import products or raw materials (either directly or through our suppliers) could have an impact on our competitive position, business operations and financial results. The United States has proposed the implementation of, and, in many cases, has implemented, a number of tariffs on imports to the United States from a large number of countries. U.S. foreign trade policy has continued to evolve under the current presidential administration, including the announcement of a number of new tariffs on foreign imports of certain products that were announced in the wake of the U.S. Supreme Court’s decision in February 2026 invalidating a number of previously imposed tariffs. In response to the tariffs imposed or threatened by the United States, many countries have imposed, or threatened to impose, reciprocal tariffs on exports from the United States. At this time, it is unknown whether the imposed tariffs will remain in place, be expanded or be removed, and we do not know the full extent of the ultimate impact of the</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620"/>
          </w:cols>
          <w:pgMar w:left="820" w:top="220" w:right="800" w:bottom="0" w:gutter="0" w:footer="0" w:header="0"/>
          <w:type w:val="continuous"/>
        </w:sectPr>
      </w:pPr>
    </w:p>
    <w:bookmarkStart w:id="23" w:name="page24"/>
    <w:bookmarkEnd w:id="23"/>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recently invalidated tariffs or the effect of those tariffs recently imposed on our Company, operations and financial results. Similarly, the Company’s operations, vendor costs and product pricing are impacted by various trade treaties, such as the United States-Mexico-Canada Agreement. Any termination or modification to trade treaties that impact the Company’s products could impact our business, financial condition, and results of operations. In addition, as a result of these recent developments in U.S. foreign trade policy, we do not know whether certain foreign countries will adopt retaliatory trade policies or what the impact of any such retaliatory trade policies could be on our business. If geopolitical tensions, trade disputes and other global conflicts develop or further escalate, which could occur with little to no advanced notice, then we may not be able to effectively mitigate any increased costs of our offerings, enhanced disruptions to our supply chain or impairment to our ability to effectively operate and compete in some or all of the countries in which we do business.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business may be negatively affected by domestic and global economic conditions. </w:t>
      </w:r>
      <w:r>
        <w:rPr>
          <w:rFonts w:ascii="Times New Roman" w:cs="Times New Roman" w:eastAsia="Times New Roman" w:hAnsi="Times New Roman"/>
          <w:sz w:val="20"/>
          <w:szCs w:val="20"/>
          <w:color w:val="auto"/>
        </w:rPr>
        <w:t>Our business is sensitive to the strength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domestic and global economic conditions, particularly as they affect, either directly or indirectly, the retail and restaurant sectors of the economy. Economic conditions are influenced by a number of factors, including political conditions, consumer confidence, unemployment levels, interest rates, tax rates, currency exchange rates, commodity prices and government actions to stimulate economic growth. The imposition or threat of new or modified trade policies, import or export tariffs, global and regional market conditions, spending trends in the retail and restaurant industries, tax legislation, new or modified global or regional trade agreements, fluctuations in oil and commodity prices, among other things, have created a challenging and unpredictable environment in which to sell our offerings across our different geographies and industries. The retail and restaurant industries depend on, among other things, consumer discretionary spending and consumer confidence, which is influenced, in part, by general economic conditions. A material decline in consumer confidence could impact the ability or willingness of our customers to make expenditures, thereby affecting their willingness to purchase our products and services. For example, a material decline in consumer confidence could result in consumers choosing to dine out less frequently or reduce the amount they spend while dining out, which could negatively impact our business customers within our Restaurant segment. Negative or unpredictable global economic conditions also may have an adverse effect on our customers’ ability to pay us for the products they have purchased from us or to obtain the financing they need from a third-party financing company to purchase our offerings, or may impact the number of payment processing transactions by customers using our payments offerings, which could negatively impact our operating results.</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addition, potential international, regional or domestic political unrest, economic or political instability, terrorist attacks or other hostilities, public health crises and natural disasters can create or contribute to a climate of global or regional uncertainty that adversely impacts our results of operations and financial condition, including our revenue growth and profitability.</w:t>
      </w:r>
    </w:p>
    <w:p>
      <w:pPr>
        <w:spacing w:after="0" w:line="18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we are unable to maintain and update our information technology systems to meet the needs of our business, our business could be adversely impacted. </w:t>
      </w:r>
      <w:r>
        <w:rPr>
          <w:rFonts w:ascii="Times New Roman" w:cs="Times New Roman" w:eastAsia="Times New Roman" w:hAnsi="Times New Roman"/>
          <w:sz w:val="20"/>
          <w:szCs w:val="20"/>
          <w:color w:val="auto"/>
        </w:rPr>
        <w:t>We rely on our information technology systems and on certain third-party systems to effectively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operate our business. We have modernized, and expect to continue reviewing and modernizing, our information technology systems and processes in order to simplify and improve our operations. There is a risk, however, that these efforts could materially and adversely disrupt our operations, could occur over a period longer than planned or could require greater than expected investments or utilization of internal and external resources. It may take longer than expected to realize the intended benefits from these efforts. Our failure to properly and efficiently maintain and update our information technology systems, or the failure of our information technology systems to perform as we anticipate, could hinder our ability to operate or to attract and support customers, or could cause us to incur legal liability, contractual penalties or cause us to lose existing customers, each of which could have a material adverse effect on our business, results of operations and financial condition.</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we do not retain key employees, or if we are unable to recruit, develop and retain qualified employees, we may not be able to meet our business objectives. </w:t>
      </w:r>
      <w:r>
        <w:rPr>
          <w:rFonts w:ascii="Times New Roman" w:cs="Times New Roman" w:eastAsia="Times New Roman" w:hAnsi="Times New Roman"/>
          <w:sz w:val="20"/>
          <w:szCs w:val="20"/>
          <w:color w:val="auto"/>
        </w:rPr>
        <w:t>Our ability to successfully execute our growth strategy and achieve our business objectives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dependent on our ability to retain key business leaders, highly skilled software development, technical, and sales personnel and other critical individuals. The market for highly skilled workers and leaders in our industry is extremely competitive, and we may need to invest significant amounts of compensation to attract and retain these employees. We may never realize returns on these investments as key employees may decide to leave the Company for other opportunities. Changes of key business leaders could be disruptive to our business, delay the execution of our strategy, or distract the attention of management. In addition, as our business model and our industries continue to evolve, we must attract employees with different skill sets. If we are unable to retain our key personnel, or we are unable to attract highly qualified individuals by offering competitive compensation, attractive work environments and leadership opportunities, our business and operating results could be negatively impacted.</w:t>
      </w:r>
    </w:p>
    <w:p>
      <w:pPr>
        <w:spacing w:after="0" w:line="19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the third-party suppliers upon which we rely to manufacture our offerings or provide us with key components or other technologies and services are unable to fulfill our needs at acceptable prices, our ability to bring our offerings to market successfully could be affected. </w:t>
      </w:r>
      <w:r>
        <w:rPr>
          <w:rFonts w:ascii="Times New Roman" w:cs="Times New Roman" w:eastAsia="Times New Roman" w:hAnsi="Times New Roman"/>
          <w:sz w:val="20"/>
          <w:szCs w:val="20"/>
          <w:color w:val="auto"/>
        </w:rPr>
        <w:t>There are a number of vendors that provide services and produce components or technologies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utilization in our commercial offerings. Some services and components are licensed or purchased from single sources due to price, quality, technology, functionality or other reasons. For example, we rely on certain companies that provide us with computer chips,</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620"/>
          </w:cols>
          <w:pgMar w:left="820" w:top="220" w:right="800" w:bottom="0" w:gutter="0" w:footer="0" w:header="0"/>
          <w:type w:val="continuous"/>
        </w:sectPr>
      </w:pPr>
    </w:p>
    <w:bookmarkStart w:id="24" w:name="page25"/>
    <w:bookmarkEnd w:id="24"/>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microprocessors and operating systems. The companies that develop these computer chips and processors have experienced a significant increase in demand due to the adoption and use of artificial intelligence, which has increased the price of these chips and processors and, in some cases, has made these chips difficult to procure. We also rely on key technology providers with respect to our payments offerings. If we are unable to secure the necessary services, components or technologies from our vendors at a reasonable price or at all, and have to find an alternative supplier, the delivery of our commercial offerings could be delayed, or these offerings may no longer be profitable. Such delays or increased costs could affect our business and operating results.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2024, we announced our entry into a commercial agreement with Ennoconn to transition our point-of-sale and self-checkout hardware businesses to an outsourced design and manufacturing model, including the sale of certain assets relating to these businesses. Under the terms of the Hardware Business Transition, Ennoconn will design, manufacturer, warrant, supply and ship self-checkout and point-of-sale hardware directly to our customers, and we will sell hardware to our customers as a sales agent. In January 2026, we announced the commencement of the implementation phase of the Hardware Business Transition. This arrangement involves a number of risks, including, but not limited to, decreased control over the production process, which could lead to production delays or interruptions or inferior product quality control. If Ennoconn experiences any significant difficulties in its manufacturing processes, becomes subject to increased costs due to the supply of the components needed to manufacture these hardware products, becomes insolvent or unwilling to continue to manufacture products of acceptable quality in a timely manner, or otherwise does not comply with their agreement with us, we could experience significant interruptions in delivering end-to-end commerce solutions to our customers, which may expose us to legal claims, reputational harm and affect our operations and financial results.</w:t>
      </w:r>
    </w:p>
    <w:p>
      <w:pPr>
        <w:spacing w:after="0" w:line="20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9"/>
          <w:szCs w:val="19"/>
          <w:b w:val="1"/>
          <w:bCs w:val="1"/>
          <w:i w:val="1"/>
          <w:iCs w:val="1"/>
          <w:color w:val="auto"/>
        </w:rPr>
        <w:t xml:space="preserve">We face uncertainties regarding regulations, lawsuits and other related matters. </w:t>
      </w:r>
      <w:r>
        <w:rPr>
          <w:rFonts w:ascii="Times New Roman" w:cs="Times New Roman" w:eastAsia="Times New Roman" w:hAnsi="Times New Roman"/>
          <w:sz w:val="19"/>
          <w:szCs w:val="19"/>
          <w:color w:val="auto"/>
        </w:rPr>
        <w:t>In the normal course of business, we are, or may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 subject to proceedings, lawsuits, claims, government actions and other matters, including, for example, those that relate to the environment, health and safety, labor and employment, employee benefits, intellectual property, data privacy and security, payments services, product liability, commercial disputes and regulatory compliance, among others. Because such matters are subject to many uncertainties, their outcomes are not predictable, and we must make certain estimates and assumptions in our financial statements. While we believe that amounts reflected in our Consolidated Financial Statements with respect to such matters are currently adequate, there can be no assurances that our estimates will align with the actual amount of any losses or liabilities relating to these matters or that the funding required to ultimately satisfy the liabilities from such matters will not impact future operating results.</w:t>
      </w:r>
    </w:p>
    <w:p>
      <w:pPr>
        <w:spacing w:after="0" w:line="19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and our business are subject to many diverse and complex regulations, including those relating to corporate governance, public disclosure and reporting, securities laws, accounting, environmental safety and the discharge of materials into the environment, product safety, sanctions, import and export compliance, data privacy and security, antitrust and competition, anti-corruption and labor, and such regulations can be subject to rapid and substantial change. These regulations may also include those discussed in Item 1 “Business—Government Regulation” of this Report. Compliance with these regulations could create a substantial burden on us and materially increase our costs or could otherwise impact on our future operating results. If we are not in compliance with any such regulations, we may be subject to criminal and civil penalties, which may cause harm to our reputation and to our brand and could have an adverse effect on our business, financial condition and results of operations.</w:t>
      </w:r>
    </w:p>
    <w:p>
      <w:pPr>
        <w:spacing w:after="0" w:line="20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payments-related business subjects us to additional regulatory requirements and other risks and uncertainties that could be costly and difficult to comply with or that could harm our business. </w:t>
      </w:r>
      <w:r>
        <w:rPr>
          <w:rFonts w:ascii="Times New Roman" w:cs="Times New Roman" w:eastAsia="Times New Roman" w:hAnsi="Times New Roman"/>
          <w:sz w:val="20"/>
          <w:szCs w:val="20"/>
          <w:color w:val="auto"/>
        </w:rPr>
        <w:t>The majority of the payment networks over which transactions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conducted require sponsorship by a bank and our ability to offer certain of our payments solutions depend on our ability to secure and maintain these “sponsor” arrangements with financial institutions.</w:t>
      </w:r>
    </w:p>
    <w:p>
      <w:pPr>
        <w:spacing w:after="0" w:line="19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addition, our ability to process certain card transactions is contingent upon our continued registration with the applicable card brands. Non-compliance with established rules and regulations of the card brands with whom we are registered could expose us to fines, penalties or other liabilities and may result in the revocation of our registration, all of which could negatively impact results of our operations.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Any increase in interchange rates or other payment network fees, over which we have minimal or no control, might decrease merchant acceptance of card and digital payments and/or reduce consumers usage of such payment methods, causing an adverse impact on our operations, revenue and cash flows.</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Further, we may experience damaged relationships or increased liability exposure due to any errors, omissions or disputes involving the settlement of merchant funds. We are responsible for maintaining accurate bank account information for certain merchant customers and ensuring funds are appropriately settled into the correct accounts based on the underlying transaction activity. In addition, we may incur losses when our merchants fail to reimburse us for chargebacks resolved in favor of their customers. Fraud by our merchants or others could also have an adverse effect on our operations and cash flows.</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620"/>
          </w:cols>
          <w:pgMar w:left="820" w:top="220" w:right="800" w:bottom="0" w:gutter="0" w:footer="0" w:header="0"/>
          <w:type w:val="continuous"/>
        </w:sectPr>
      </w:pPr>
    </w:p>
    <w:bookmarkStart w:id="25" w:name="page26"/>
    <w:bookmarkEnd w:id="25"/>
    <w:p>
      <w:pPr>
        <w:ind w:left="19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Changes to laws, regulations, card brand rules, the Payment Card Industry Data Security Standard or other industry standards affecting our payments business may require significant development and compliance investments or have an unfavorable effect on our ability to offer certain services or on our financial performance.</w:t>
      </w:r>
    </w:p>
    <w:p>
      <w:pPr>
        <w:spacing w:after="0" w:line="189" w:lineRule="exact"/>
        <w:rPr>
          <w:sz w:val="20"/>
          <w:szCs w:val="20"/>
          <w:color w:val="auto"/>
        </w:rPr>
      </w:pPr>
    </w:p>
    <w:p>
      <w:pPr>
        <w:jc w:val="both"/>
        <w:ind w:left="1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Changes to our tax rates and additional income tax liabilities could impact profitability. </w:t>
      </w:r>
      <w:r>
        <w:rPr>
          <w:rFonts w:ascii="Times New Roman" w:cs="Times New Roman" w:eastAsia="Times New Roman" w:hAnsi="Times New Roman"/>
          <w:sz w:val="20"/>
          <w:szCs w:val="20"/>
          <w:color w:val="auto"/>
        </w:rPr>
        <w:t>We are a U.S.-based multinational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corporation, subject to income taxes in the United States and in a number of foreign jurisdictions. Our domestic and international tax liabilities depend on the distribution of our earnings across different jurisdictions, and our provision for income taxes and cash tax liability may be adversely affected if distributed earnings are higher than expected in certain jurisdictions having higher statutory tax rates.</w:t>
      </w:r>
    </w:p>
    <w:p>
      <w:pPr>
        <w:spacing w:after="0" w:line="205"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Due to economic and political conditions, tax laws and tax rates for income and non-income taxes in a number of varying jurisdictions may be subject to significant changes in the future, which could materially affect our financial position and results of operations. For example, a variety of governments and international organizations, such as the Organization for Economic Co-operation and Development and the European Union, are focused on modernizing international tax rules, including, but not limited to, global minimum corporate income tax standards. The final nature, timing and extent of any such tax reforms or other legislative or regulatory actions are unpredictable, and it is difficult to assess their overall effect to us. Tax law changes that could significantly reduce or limit our ability to utilize our deferred tax assets could have a material impact on our tax rate and cash tax payments. Any of these potential changes could increase our effective tax rate, increase cash tax payments and adversely impact our financial results.</w:t>
      </w:r>
    </w:p>
    <w:p>
      <w:pPr>
        <w:spacing w:after="0" w:line="209"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Multinational corporations, like us, may be subject to significant uncertainty with regard to the application of tax laws, as they require the use of judgment and can be subject to differing interpretations. We are, or may become in the future, subject to audits of our income tax returns in various jurisdictions, both in the United States and internationally. While we believe that our tax positions are sustainable, the outcomes of each current or future audit may result in the assessment of additional taxes, which could adversely impact our cash flows and financial results.</w:t>
      </w:r>
    </w:p>
    <w:p>
      <w:pPr>
        <w:spacing w:after="0" w:line="195" w:lineRule="exact"/>
        <w:rPr>
          <w:sz w:val="20"/>
          <w:szCs w:val="20"/>
          <w:color w:val="auto"/>
        </w:rPr>
      </w:pPr>
    </w:p>
    <w:p>
      <w:pPr>
        <w:jc w:val="both"/>
        <w:ind w:left="10"/>
        <w:spacing w:after="0" w:line="271"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international operations subject us to additional risks that can adversely affect our business, financial condition and results of operations. </w:t>
      </w:r>
      <w:r>
        <w:rPr>
          <w:rFonts w:ascii="Times New Roman" w:cs="Times New Roman" w:eastAsia="Times New Roman" w:hAnsi="Times New Roman"/>
          <w:sz w:val="20"/>
          <w:szCs w:val="20"/>
          <w:color w:val="auto"/>
        </w:rPr>
        <w:t>For each of the years ended December 31, 2025 and 2024, the percentage of our revenue from outside of the United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States was 39%. Our international operations subject us to a variety of risks and challenges, including, but not limited to:</w:t>
      </w:r>
    </w:p>
    <w:p>
      <w:pPr>
        <w:spacing w:after="0" w:line="10" w:lineRule="exact"/>
        <w:rPr>
          <w:sz w:val="20"/>
          <w:szCs w:val="20"/>
          <w:color w:val="auto"/>
        </w:rPr>
      </w:pPr>
    </w:p>
    <w:p>
      <w:pPr>
        <w:ind w:left="730" w:hanging="730"/>
        <w:spacing w:after="0" w:line="281" w:lineRule="auto"/>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ongoing and future economic conditions on the stability of national and regional economies and industries within those economies;</w:t>
      </w:r>
    </w:p>
    <w:p>
      <w:pPr>
        <w:spacing w:after="0" w:line="1" w:lineRule="exact"/>
        <w:rPr>
          <w:rFonts w:ascii="Times New Roman" w:cs="Times New Roman" w:eastAsia="Times New Roman" w:hAnsi="Times New Roman"/>
          <w:sz w:val="20"/>
          <w:szCs w:val="20"/>
          <w:color w:val="auto"/>
        </w:rPr>
      </w:pPr>
    </w:p>
    <w:p>
      <w:pPr>
        <w:ind w:left="730" w:hanging="730"/>
        <w:spacing w:after="0" w:line="281" w:lineRule="auto"/>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conditions and local regulations that could adversely affect demand for our solutions, our ability to access funds and resources or our ability to sell commercial offerings in these markets;</w:t>
      </w:r>
    </w:p>
    <w:p>
      <w:pPr>
        <w:spacing w:after="0" w:line="1"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 downturn in the global economy, or in regional economies, on demand for our offerings;</w:t>
      </w:r>
    </w:p>
    <w:p>
      <w:pPr>
        <w:spacing w:after="0" w:line="70"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labor markets and increasing wages in markets in which we operate;</w:t>
      </w:r>
    </w:p>
    <w:p>
      <w:pPr>
        <w:spacing w:after="0" w:line="70" w:lineRule="exact"/>
        <w:rPr>
          <w:rFonts w:ascii="Times New Roman" w:cs="Times New Roman" w:eastAsia="Times New Roman" w:hAnsi="Times New Roman"/>
          <w:sz w:val="20"/>
          <w:szCs w:val="20"/>
          <w:color w:val="auto"/>
        </w:rPr>
      </w:pPr>
    </w:p>
    <w:p>
      <w:pPr>
        <w:jc w:val="both"/>
        <w:ind w:left="730" w:hanging="730"/>
        <w:spacing w:after="0" w:line="266" w:lineRule="auto"/>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varied employee/employer relationships, existence of works councils and differing labor practices and other challenges caused by distance, language, local expertise and cultural differences, increasing the complexity of doing business in multiple jurisdictions;</w:t>
      </w:r>
    </w:p>
    <w:p>
      <w:pPr>
        <w:spacing w:after="0" w:line="15" w:lineRule="exact"/>
        <w:rPr>
          <w:rFonts w:ascii="Times New Roman" w:cs="Times New Roman" w:eastAsia="Times New Roman" w:hAnsi="Times New Roman"/>
          <w:sz w:val="20"/>
          <w:szCs w:val="20"/>
          <w:color w:val="auto"/>
        </w:rPr>
      </w:pPr>
    </w:p>
    <w:p>
      <w:pPr>
        <w:ind w:left="730" w:hanging="730"/>
        <w:spacing w:after="0" w:line="281" w:lineRule="auto"/>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exchange rate fluctuations that could result in lower demand for our offerings as well as generate currency translation losses;</w:t>
      </w:r>
    </w:p>
    <w:p>
      <w:pPr>
        <w:spacing w:after="0" w:line="1" w:lineRule="exact"/>
        <w:rPr>
          <w:rFonts w:ascii="Times New Roman" w:cs="Times New Roman" w:eastAsia="Times New Roman" w:hAnsi="Times New Roman"/>
          <w:sz w:val="20"/>
          <w:szCs w:val="20"/>
          <w:color w:val="auto"/>
        </w:rPr>
      </w:pPr>
    </w:p>
    <w:p>
      <w:pPr>
        <w:ind w:left="730" w:hanging="730"/>
        <w:spacing w:after="0" w:line="281" w:lineRule="auto"/>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availability of local currencies to pay vendors, employees and third parties and to distribute funds outside of the country;</w:t>
      </w:r>
    </w:p>
    <w:p>
      <w:pPr>
        <w:spacing w:after="0" w:line="1"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global or regional trade agreements that could limit our ability to sell in these markets;</w:t>
      </w:r>
    </w:p>
    <w:p>
      <w:pPr>
        <w:spacing w:after="0" w:line="70" w:lineRule="exact"/>
        <w:rPr>
          <w:rFonts w:ascii="Times New Roman" w:cs="Times New Roman" w:eastAsia="Times New Roman" w:hAnsi="Times New Roman"/>
          <w:sz w:val="20"/>
          <w:szCs w:val="20"/>
          <w:color w:val="auto"/>
        </w:rPr>
      </w:pPr>
    </w:p>
    <w:p>
      <w:pPr>
        <w:ind w:left="730" w:hanging="730"/>
        <w:spacing w:after="0" w:line="281" w:lineRule="auto"/>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import or export tariffs, taxes, trade policies or import and export controls that could increase the expense of, or limit demand for our offerings;</w:t>
      </w:r>
    </w:p>
    <w:p>
      <w:pPr>
        <w:spacing w:after="0" w:line="1" w:lineRule="exact"/>
        <w:rPr>
          <w:rFonts w:ascii="Times New Roman" w:cs="Times New Roman" w:eastAsia="Times New Roman" w:hAnsi="Times New Roman"/>
          <w:sz w:val="20"/>
          <w:szCs w:val="20"/>
          <w:color w:val="auto"/>
        </w:rPr>
      </w:pPr>
    </w:p>
    <w:p>
      <w:pPr>
        <w:ind w:left="730" w:hanging="730"/>
        <w:spacing w:after="0" w:line="281" w:lineRule="auto"/>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and compliance with a variety of laws and regulations that may increase our cost of doing business or otherwise prevent us from effectively competing internationally or that may impose burdensome requirements or restrictions on us;</w:t>
      </w:r>
    </w:p>
    <w:p>
      <w:pPr>
        <w:spacing w:after="0" w:line="1"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uncertainty or limitations on the ability to enforce legal rights and remedies;</w:t>
      </w:r>
    </w:p>
    <w:p>
      <w:pPr>
        <w:spacing w:after="0" w:line="70"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protection for intellectual property rights in certain countries;</w:t>
      </w:r>
    </w:p>
    <w:p>
      <w:pPr>
        <w:spacing w:after="0" w:line="70"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implementing and managing systems, procedures and controls to monitor our operations in foreign markets;</w:t>
      </w:r>
    </w:p>
    <w:p>
      <w:pPr>
        <w:spacing w:after="0" w:line="70"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competitive requirements and deliverables in developing and emerging markets;</w:t>
      </w:r>
    </w:p>
    <w:p>
      <w:pPr>
        <w:spacing w:after="0" w:line="70"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longer collection cycles and the financial viability and reliability of contracting partners and customers;</w:t>
      </w:r>
    </w:p>
    <w:p>
      <w:pPr>
        <w:spacing w:after="0" w:line="70"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a geographically dispersed workforce, work stoppages and other labor conditions or issues;</w:t>
      </w:r>
    </w:p>
    <w:p>
      <w:pPr>
        <w:spacing w:after="0" w:line="70"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transportation and shipping infrastructure; and</w:t>
      </w:r>
    </w:p>
    <w:p>
      <w:pPr>
        <w:sectPr>
          <w:pgSz w:w="12240" w:h="15840" w:orient="portrait"/>
          <w:cols w:equalWidth="0" w:num="1">
            <w:col w:w="10610"/>
          </w:cols>
          <w:pgMar w:left="810" w:top="220" w:right="82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610"/>
          </w:cols>
          <w:pgMar w:left="810" w:top="220" w:right="820" w:bottom="0" w:gutter="0" w:footer="0" w:header="0"/>
          <w:type w:val="continuous"/>
        </w:sectPr>
      </w:pPr>
    </w:p>
    <w:bookmarkStart w:id="26" w:name="page27"/>
    <w:bookmarkEnd w:id="26"/>
    <w:p>
      <w:pPr>
        <w:ind w:left="19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left="730" w:right="20" w:hanging="730"/>
        <w:spacing w:after="0" w:line="266" w:lineRule="auto"/>
        <w:tabs>
          <w:tab w:leader="none" w:pos="73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natural disasters, pandemics, catastrophic events, civil unrest, war and terrorist activity on our international operations, supply chains, the global economy or markets in general, or on our business or our customers’ businesses or on the ability of our suppliers to meet commitments.</w:t>
      </w:r>
    </w:p>
    <w:p>
      <w:pPr>
        <w:spacing w:after="0" w:line="195" w:lineRule="exact"/>
        <w:rPr>
          <w:sz w:val="20"/>
          <w:szCs w:val="20"/>
          <w:color w:val="auto"/>
        </w:rPr>
      </w:pPr>
    </w:p>
    <w:p>
      <w:pPr>
        <w:jc w:val="both"/>
        <w:ind w:left="10"/>
        <w:spacing w:after="0" w:line="256" w:lineRule="auto"/>
        <w:rPr>
          <w:sz w:val="20"/>
          <w:szCs w:val="20"/>
          <w:color w:val="auto"/>
        </w:rPr>
      </w:pPr>
      <w:r>
        <w:rPr>
          <w:rFonts w:ascii="Times New Roman" w:cs="Times New Roman" w:eastAsia="Times New Roman" w:hAnsi="Times New Roman"/>
          <w:sz w:val="20"/>
          <w:szCs w:val="20"/>
          <w:color w:val="auto"/>
        </w:rPr>
        <w:t>These risks and challenges, among others, could increase our cost of doing business internationally, including shortages of goods and increased costs, shipping delays, longer payment cycles, increased taxes and restrictions on the repatriation of funds to the United States. We have employees and third-party consultants outside of the U.S. that provide software development and support services. A sustained loss of the software development services provided by international employees and third-party consultants could negatively impact our software development efforts, adversely affect our competitive position, harm our reputation, impede our ability to achieve and maintain profitability, and negatively impact our business, financial condition, and results of operations.</w:t>
      </w:r>
    </w:p>
    <w:p>
      <w:pPr>
        <w:spacing w:after="0" w:line="199"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risk management efforts may not be fully effective in mitigating our risk exposure, which could expose us to losses and liability and otherwise harm our business. </w:t>
      </w:r>
      <w:r>
        <w:rPr>
          <w:rFonts w:ascii="Times New Roman" w:cs="Times New Roman" w:eastAsia="Times New Roman" w:hAnsi="Times New Roman"/>
          <w:sz w:val="20"/>
          <w:szCs w:val="20"/>
          <w:color w:val="auto"/>
        </w:rPr>
        <w:t>Our business and the industries in which we operate are complex and subject to rapid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evolution and change. As a result, our risk management policies, procedures, techniques and processes may not be sufficient to identify all of the risks to which we are exposed, to enable us to mitigate the risks we have identified or to identify additional risks to which we may become subject in the future as we expand our offerings. If any of our risk management policies and processes are ineffective, or if we are not successful in identifying and mitigating all risks to which we are or may be exposed, we may suffer losses or harm to our reputation, or be subject to litigation or regulatory actions, any of which could adversely affect our business, financial condition and results of operations.</w:t>
      </w:r>
    </w:p>
    <w:p>
      <w:pPr>
        <w:spacing w:after="0" w:line="198"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 xml:space="preserve">A major natural disaster or catastrophic event could have a materially adverse effect on our business, financial condition and results of operations, or have other adverse consequences. </w:t>
      </w:r>
      <w:r>
        <w:rPr>
          <w:rFonts w:ascii="Times New Roman" w:cs="Times New Roman" w:eastAsia="Times New Roman" w:hAnsi="Times New Roman"/>
          <w:sz w:val="20"/>
          <w:szCs w:val="20"/>
          <w:color w:val="auto"/>
        </w:rPr>
        <w:t>Our business, financial condition, results of operations, access to capital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markets and borrowing costs may be adversely affected by a major natural disaster or catastrophic event, including, without limitation, civil unrest, geopolitical instability, war, terrorist attack, pandemics or other (actual or threatened) public health emergencies or other events beyond our control, and any direct or indirect measures taken in response thereto.</w:t>
      </w:r>
    </w:p>
    <w:p>
      <w:pPr>
        <w:spacing w:after="0" w:line="203" w:lineRule="exact"/>
        <w:rPr>
          <w:sz w:val="20"/>
          <w:szCs w:val="20"/>
          <w:color w:val="auto"/>
        </w:rPr>
      </w:pPr>
    </w:p>
    <w:p>
      <w:pPr>
        <w:jc w:val="both"/>
        <w:ind w:left="10"/>
        <w:spacing w:after="0" w:line="253" w:lineRule="auto"/>
        <w:rPr>
          <w:sz w:val="20"/>
          <w:szCs w:val="20"/>
          <w:color w:val="auto"/>
        </w:rPr>
      </w:pPr>
      <w:r>
        <w:rPr>
          <w:rFonts w:ascii="Times New Roman" w:cs="Times New Roman" w:eastAsia="Times New Roman" w:hAnsi="Times New Roman"/>
          <w:sz w:val="20"/>
          <w:szCs w:val="20"/>
          <w:color w:val="auto"/>
        </w:rPr>
        <w:t>A significant natural disaster, such as an earthquake, fire, flood or hurricane, could have a material and adverse effect on our business, and our insurance coverage may be insufficient to compensate us all, or even a portion of, the losses that may occur. We have operations and customers all over the world and certain locations in which we operate or serve customers, such as California, Texas and India, are particularly vulnerable to natural disasters and extreme weather. Acts of terrorism also may disrupt our business operations, or those of our customers, and such acts could negatively impact consumer demand or the global economy. While we have disaster recovery and business continuity plans, they may not be sufficient to mitigate the impact of any such event. Despite any precautions we may take, the occurrence of a natural disaster or other unanticipated catastrophic event at our headquarters or other key facilities could result in lengthy interruptions in access to, or functionality of, our platform and other offerings, or these events could expose us to other liabilities, resulting in potential adverse effects on our business, financial condition or operating results.</w:t>
      </w:r>
    </w:p>
    <w:p>
      <w:pPr>
        <w:spacing w:after="0" w:line="210"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historical manufacturing activities subject us to environmental exposures. </w:t>
      </w:r>
      <w:r>
        <w:rPr>
          <w:rFonts w:ascii="Times New Roman" w:cs="Times New Roman" w:eastAsia="Times New Roman" w:hAnsi="Times New Roman"/>
          <w:sz w:val="20"/>
          <w:szCs w:val="20"/>
          <w:color w:val="auto"/>
        </w:rPr>
        <w:t>A number of our facilities, properties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operations are subject to a wide range of environmental protection laws, and we have investigatory and remedial activities underway at certain facilities relating to our historical operations that we currently own, or formerly owned or operated, to comply with such laws. In addition, our products are subject to environmental laws in a number of jurisdictions. There can be no assurance that the costs required to comply with applicable environmental laws will not negatively impact our financial condition or future operating results. We have been identified as a potentially responsible party in connection with certain environmental matters, including the Kalamazoo River matter, as further described in Note 11, “Commitments and Contingencies”, of the Notes to Consolidated Financial Statements included in Item 8 of Part II of this Report; in “Government Regulations” within Item 1 of Part I of this Report; and in “Environmental and Legal Contingencies” within the “Critical Accounting Estimates” section of “Management’s Discussion and Analysis of Financial Condition and Results of Operations” included in Item 7 of Part II of this Report, and we incorporate such disclosures by reference and make them a part of this discussion of risk factors.</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RISKS ASSOCIATED WITH OUR FINANCE &amp; ACCOUNTING</w:t>
      </w:r>
    </w:p>
    <w:p>
      <w:pPr>
        <w:spacing w:after="0" w:line="248" w:lineRule="exact"/>
        <w:rPr>
          <w:sz w:val="20"/>
          <w:szCs w:val="20"/>
          <w:color w:val="auto"/>
        </w:rPr>
      </w:pPr>
    </w:p>
    <w:p>
      <w:pPr>
        <w:jc w:val="both"/>
        <w:ind w:left="10" w:right="2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level of indebtedness could limit our financial and operating activities and adversely affect our ability to incur additional debt to fund future needs. </w:t>
      </w:r>
      <w:r>
        <w:rPr>
          <w:rFonts w:ascii="Times New Roman" w:cs="Times New Roman" w:eastAsia="Times New Roman" w:hAnsi="Times New Roman"/>
          <w:sz w:val="20"/>
          <w:szCs w:val="20"/>
          <w:color w:val="auto"/>
        </w:rPr>
        <w:t>At December 31, 2025, we had approximately $1.1 billion of total indebtedness outstanding with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additional $476 million of borrowings available under our senior secured revolving credit facility. Our current level of indebtedness could:</w:t>
      </w:r>
    </w:p>
    <w:p>
      <w:pPr>
        <w:spacing w:after="0" w:line="17" w:lineRule="exact"/>
        <w:rPr>
          <w:sz w:val="20"/>
          <w:szCs w:val="20"/>
          <w:color w:val="auto"/>
        </w:rPr>
      </w:pPr>
    </w:p>
    <w:p>
      <w:pPr>
        <w:ind w:left="730" w:hanging="370"/>
        <w:spacing w:after="0" w:line="281" w:lineRule="auto"/>
        <w:tabs>
          <w:tab w:leader="none" w:pos="73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us to dedicate a substantial portion of our cash flow to the payment of principal and interest, thereby reducing the funds available for operations and future business opportunities;</w:t>
      </w:r>
    </w:p>
    <w:p>
      <w:pPr>
        <w:sectPr>
          <w:pgSz w:w="12240" w:h="15840" w:orient="portrait"/>
          <w:cols w:equalWidth="0" w:num="1">
            <w:col w:w="10630"/>
          </w:cols>
          <w:pgMar w:left="81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630"/>
          </w:cols>
          <w:pgMar w:left="810" w:top="220" w:right="800" w:bottom="0" w:gutter="0" w:footer="0" w:header="0"/>
          <w:type w:val="continuous"/>
        </w:sectPr>
      </w:pPr>
    </w:p>
    <w:bookmarkStart w:id="27" w:name="page28"/>
    <w:bookmarkEnd w:id="27"/>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left="720" w:right="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it more difficult for us to satisfy our obligations with respect to our outstanding debt, including obligations to repurchase our senior unsecured notes under our indentures following the occurrence of certain changes in control;</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ability to borrow money or otherwise enter into financing arrangements that would provide us with additional capital if needed for other purposes, including working capital, capital expenditures, debt service requirements, acquisitions and general corporate purposes, on satisfactory terms or at all;</w:t>
      </w:r>
    </w:p>
    <w:p>
      <w:pPr>
        <w:spacing w:after="0" w:line="1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our ability to adjust to changing economic, business and competitive conditions;</w:t>
      </w:r>
    </w:p>
    <w:p>
      <w:pPr>
        <w:spacing w:after="0" w:line="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place us at a competitive disadvantage with competitors who may have less indebtedness or greater access to financing or access to financing on preferential terms;</w:t>
      </w:r>
    </w:p>
    <w:p>
      <w:pPr>
        <w:spacing w:after="0" w:line="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us more vulnerable to an increase in interest rates, a downturn in our operating performance or a decline in general economic, business and other conditions; and</w:t>
      </w:r>
    </w:p>
    <w:p>
      <w:pPr>
        <w:spacing w:after="0" w:line="1"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us more susceptible to adverse changes in our credit ratings and those of our debt securities, which could impact our ability to obtain financing in the future and increase the cost of such financing.</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If compliance with our obligations under our debt and other financing agreements materially limits our financial or operating activities, or hinders our ability to adapt to changing industry conditions, then we may lose market share, our revenue may decline and our operating results may be negatively affected.</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may, from time to time, seek to opportunistically refinance, amend, reprice and/or otherwise replace any of our debt, obtain additional debt financing or enter into other financing arrangements; reduce or extend our debt, lower our interest payments or the cost of capital available to us under certain types of financing arrangements or otherwise seek to improve our financial position or the terms of our debt or other financing agreements. These actions may include open market debt repurchases, negotiated repurchases or other repayments, redemptions or retirements of our debt or other financing arrangements. The amount of debt that may be borrowed or issued, refinanced, and/or repurchased, repaid, redeemed or otherwise retired, if any, will depend on market conditions, trading levels of our debt, our cash position, compliance with our debt covenants and other considerations. Any such actions could impact our financial condition or results of operations.</w:t>
      </w:r>
    </w:p>
    <w:p>
      <w:pPr>
        <w:spacing w:after="0" w:line="20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terms of the documents governing our indebtedness include financial and other covenants that could restrict or limit our financial and business operations. </w:t>
      </w:r>
      <w:r>
        <w:rPr>
          <w:rFonts w:ascii="Times New Roman" w:cs="Times New Roman" w:eastAsia="Times New Roman" w:hAnsi="Times New Roman"/>
          <w:sz w:val="20"/>
          <w:szCs w:val="20"/>
          <w:color w:val="auto"/>
        </w:rPr>
        <w:t>Our credit agreement governing the senior secured credit facilities and the indentures for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senior unsecured notes include restrictive covenants that, subject to certain exceptions and qualifications, restrict or otherwise limit our ability and the ability of our subsidiaries to, among other things:</w:t>
      </w:r>
    </w:p>
    <w:p>
      <w:pPr>
        <w:spacing w:after="0" w:line="17" w:lineRule="exact"/>
        <w:rPr>
          <w:sz w:val="20"/>
          <w:szCs w:val="20"/>
          <w:color w:val="auto"/>
        </w:rPr>
      </w:pPr>
    </w:p>
    <w:p>
      <w:pPr>
        <w:ind w:left="1080" w:hanging="37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liens on, sell or otherwise dispose of, our assets;</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certain fundamental corporate changes or changes to our business activities;</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certain investments (including acquisitions);</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sale-leaseback or hedging transactions;</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 our common stock, pay dividends or make similar distributions on our capital stock;</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repay certain indebtedness;</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certain affiliate transactions; and</w:t>
      </w:r>
    </w:p>
    <w:p>
      <w:pPr>
        <w:spacing w:after="0" w:line="70"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agreements that restrict our ability to create liens, pay dividends or make loan repayments.</w:t>
      </w:r>
    </w:p>
    <w:p>
      <w:pPr>
        <w:spacing w:after="0" w:line="2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senior secured credit agreement and the indentures governing our senior unsecured notes also contain certain affirmative covenants, and the senior secured credit agreement requires us to comply with a leverage ratio that measures our debt relative to our Consolidated EBITDA (as defined in the senior secured credit agreement).</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but not limited to, general economic and credit conditions, currency exchange rates and industry downturns.</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If we fail to comply with these covenants and are unable to obtain a waiver or amendment from the applicable debtholders, an event of default would result under the applicable agreements and under other agreements containing related cross-default provisions.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Upon an event of default under the senior secured credit agreement, the administrative agent or the required lenders could, among other things, declare outstanding amounts due and payable, terminate the commitments under the senior secured credit agreement, or require us to deposit cash collateral in respect of outstanding letters of credit. Upon a bankruptcy or insolvency event of default</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620"/>
          </w:cols>
          <w:pgMar w:left="820" w:top="220" w:right="800" w:bottom="0" w:gutter="0" w:footer="0" w:header="0"/>
          <w:type w:val="continuous"/>
        </w:sectPr>
      </w:pPr>
    </w:p>
    <w:bookmarkStart w:id="28" w:name="page29"/>
    <w:bookmarkEnd w:id="28"/>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under the senior secured credit agreement, all outstanding amounts thereunder may become due and payable and all commitments thereunder automatically terminate. If we were unable to repay or pay the amounts due, the administrative agent or the lenders could, among other things, proceed against the collateral granted to them to secure such indebtedness, which includes certain of our domestic assets and the equity interests of certain of our domestic and foreign subsidiaries. Upon an event of default under the indentures governing our senior unsecured notes, the related trustee or the holders of our senior unsecured notes could declare all outstanding amounts immediately due and payable.</w:t>
      </w:r>
    </w:p>
    <w:p>
      <w:pPr>
        <w:spacing w:after="0" w:line="19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cash flows may not be sufficient to service our indebtedness, and if we are unable to satisfy our obligations under our indebtedness, we may be required to seek other financing alternatives, which may be unsuccessful. </w:t>
      </w:r>
      <w:r>
        <w:rPr>
          <w:rFonts w:ascii="Times New Roman" w:cs="Times New Roman" w:eastAsia="Times New Roman" w:hAnsi="Times New Roman"/>
          <w:sz w:val="20"/>
          <w:szCs w:val="20"/>
          <w:color w:val="auto"/>
        </w:rPr>
        <w:t>Our ability to timely pay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principal and interest on our debt obligations depends on our ability to generate positive cash flows from operations, which is subject to general economic conditions, competitive pressures and certain financial, business and other factors, which may include those outside of our control. If our cash flows and capital resources are insufficient to make these payments, we may be required to seek additional financing sources, reduce or delay capital expenditures, sell assets or operations or refinance our indebtedness. These actions could have an adverse effect on our business, financial condition and results of operations. We also may be unable to take any of these actions, and, even if successful, these actions may not permit us to meet our scheduled debt service obligations. Our ability to restructure or refinance our outstanding indebtedness will depend on, among other things, the condition of the capital markets and our financial condition at such time. There can be no assurance that we will be able to restructure or refinance any of our indebtedness on commercially reasonable terms or at all. If we cannot timely pay our debt, we will be in default and the outstanding principal and interest on our debt could be accelerated and declared due and payable, in which case we could be forced into bankruptcy, liquidation or require us to substantially restructure or alter our business operations or debt obligations.</w:t>
      </w:r>
    </w:p>
    <w:p>
      <w:pPr>
        <w:spacing w:after="0" w:line="2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Certain change in control transactions may accelerate our indebtedness or our obligations under other financing arrangements, or may require us to repurchase our senior unsecured notes or our Series A Convertible Preferred Stock. </w:t>
      </w:r>
      <w:r>
        <w:rPr>
          <w:rFonts w:ascii="Times New Roman" w:cs="Times New Roman" w:eastAsia="Times New Roman" w:hAnsi="Times New Roman"/>
          <w:sz w:val="20"/>
          <w:szCs w:val="20"/>
          <w:color w:val="auto"/>
        </w:rPr>
        <w:t>Upon the occurrence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change in control under the applicable indenture governing our senior unsecured notes, holders of those notes may require us to repurchase their notes. In addition, upon certain change of control events involving the Company, holders of Series A Convertible Preferred Stock can require us, subject to certain exceptions, to repurchase any or all of their Series A Convertible Preferred Stock. On any date during the three months commencing on and immediately following March 16, 2027, March 16, 2030 and March 16, 2033, holders of our Series A Convertible Preferred Stock will have the right to require us to repurchase any or all of our outstanding Series A Convertible Preferred Stock.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may have insufficient funds in the event that we are required to repurchase any of our senior unsecured notes or Series A Convertible Preferred Stock, or both. There can be no assurance that we will have sufficient financial resources, or be able to arrange financing to pay the repurchase price in cash with respect to any of our senior unsecured notes or Series A Convertible Preferred Stock upon a change in control or scheduled redemption. If we fail to repurchase a series of senior unsecured notes, when required, it would result in an event of default for such notes which could, in turn, constitute a default under the terms of our other indebtedness. If we are unable to repurchase all shares of Series A Convertible Preferred Stock that holders have requested to be purchased, then we are required to pay dividends on the shares not repurchased at a rate equal to 8.0% per annum, accruing daily from such date until the full purchase price, plus all accrued dividends, are paid in full in respect of such shares of Series A Convertible Preferred Stock.</w:t>
      </w:r>
    </w:p>
    <w:p>
      <w:pPr>
        <w:spacing w:after="0" w:line="20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 change in control also (i) may constitute an event of default under our senior secured credit agreement that would permit the lenders to accelerate the maturity of the borrowings thereunder and/or terminate the commitments under the senior secured revolving credit facility and (ii) may require us to make a similar change in control offer to holders of our existing senior unsecured notes.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Certain important corporate events, such as leveraged recapitalization that would increase the level of our indebtedness, may not constitute a change in control under the indentures governing our unsecured notes or the terms of our Series A Convertible Preferred Stock.</w:t>
      </w:r>
    </w:p>
    <w:p>
      <w:pPr>
        <w:spacing w:after="0" w:line="18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 xml:space="preserve">A lowering or withdrawal of the ratings assigned to our debt securities by rating agencies may increase our future capital costs and reduce our access to capital. </w:t>
      </w:r>
      <w:r>
        <w:rPr>
          <w:rFonts w:ascii="Times New Roman" w:cs="Times New Roman" w:eastAsia="Times New Roman" w:hAnsi="Times New Roman"/>
          <w:sz w:val="20"/>
          <w:szCs w:val="20"/>
          <w:color w:val="auto"/>
        </w:rPr>
        <w:t>Any rating assigned to our debt could be lowered or withdrawn entirely by a rating agency if,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rating agency’s judgment, future circumstances justify any such change. Any future lowering of our ratings would make it more difficult or more expensive for us to obtain additional debt financing or capital from other financing arrangements.</w:t>
      </w:r>
    </w:p>
    <w:p>
      <w:pPr>
        <w:spacing w:after="0" w:line="19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may be required to write down the value of certain significant assets, which would adversely affect our operating results.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have a number of significant assets on our balance sheet as of December 31, 2025 and the value of these assets can be adversely impacted by factors related to our business and operating performance, as well as factors outside of our control. We recognize deferred tax assets and liabilities based on the differences between the financial statement carrying amounts and the tax basis of</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620"/>
          </w:cols>
          <w:pgMar w:left="820" w:top="220" w:right="800" w:bottom="0" w:gutter="0" w:footer="0" w:header="0"/>
          <w:type w:val="continuous"/>
        </w:sectPr>
      </w:pPr>
    </w:p>
    <w:bookmarkStart w:id="29" w:name="page30"/>
    <w:bookmarkEnd w:id="29"/>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assets and liabilities. Our deferred tax assets, net of valuation allowances, totaled approximately $315 million and $320 million at December 31, 2025 and 2024, respectively. We regularly review our deferred tax assets for recoverability and establish a valuation allowance if it is more likely than not that some portion or all of a deferred tax asset will not be realized. If we are unable to generate sufficient future taxable income, if there is a material change in the actual effective tax rates or if there is a change to the time period within which the underlying temporary differences become taxable or deductible, then we may be required to increase our valuation allowance against our deferred tax assets, which could result in a material increase in our effective tax rate.</w:t>
      </w:r>
    </w:p>
    <w:p>
      <w:pPr>
        <w:spacing w:after="0" w:line="2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have previously recorded valuation allowances related to certain deferred tax assets due to the uncertainty of the ultimate realization of the future benefits from those assets. The recorded valuation allowances cover deferred tax assets, including tax loss carryforwards, interest expense carryforwards and foreign tax credits, in tax jurisdictions where there is uncertainty as to the ultimate realization of those tax assets. If we are unable to generate sufficient future taxable income of the proper source in the time period within which the temporary differences underlying our deferred tax assets become deductible, or before the expiration of our loss and credit carryforwards, additional valuation allowances could be required in the future.</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we fail to maintain an effective system of disclosure controls and procedures and internal control over financial reporting, then such failure could have a material adverse effect on our results of operations, financial condition and cash flows. </w:t>
      </w:r>
      <w:r>
        <w:rPr>
          <w:rFonts w:ascii="Times New Roman" w:cs="Times New Roman" w:eastAsia="Times New Roman" w:hAnsi="Times New Roman"/>
          <w:sz w:val="20"/>
          <w:szCs w:val="20"/>
          <w:color w:val="auto"/>
        </w:rPr>
        <w:t>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public reporting company, we are required to establish and periodically evaluate our disclosure controls and procedures with respect to information we file with, or submit to, the SEC, and our internal control over financial reporting with respect to our financial statements and related disclosures. In particular, we are required to assess the effectiveness of our internal control over financial reporting at the end of each fiscal year pursuant to Section 404 of the Sarbanes-Oxley Act. If we identify deficiencies in our internal control over financial reporting, we may be unable to accurately report our financial results or to report them within the timeframes required by the SEC. The presence of deficiencies in our disclosure controls or internal control over financial reporting and a corresponding remediation of material weaknesses or any regulatory actions resulting from such material weaknesses could impair our business, restrict our access to capital markets and adversely impact our stock price. In addition, the occurrence of any of the foregoing could cause investors and others that rely on our financial statements to lose confidence in the accuracy and completeness of our financial reports.</w:t>
      </w:r>
    </w:p>
    <w:p>
      <w:pPr>
        <w:spacing w:after="0" w:line="2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We have previously identified material weaknesses in our internal control over financial reporting, the most recent of which were fully remediated in fiscal 2024. While these material weaknesses have been fully remediated, we cannot guarantee that our internal controls will continue to operate effectively in the future. We may fail to identify new control deficiencies or material weaknesses or may not identify them on a timely basis, and our internal controls may not prevent or detect misstatements. If future deficiencies result in material misstatements or we are otherwise required to restate our financial statements, our business, financial condition and results of operations could be materially adversely affected, including through increased costs, regulatory scrutiny, reputational harm or diminished investor confidence. See Item 9A of this Report for more information, which is incorporated herein by reference.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ASSOCIATED WITH OUR GOVERNANCE</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Our Series A Convertible Preferred Stock has rights, preferences and privileges that are not held by, and are preferential to, the rights of our common stockholders, which could adversely affect our liquidity and financial condition, and may result in the interests of the holders of our Series A Convertible Preferred Stock differing from those of our common stockholders.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holders of our Series A Convertible Preferred Stock have the right to receive a liquidation preference entitling them to be paid out of our assets available for distribution to stockholders before any payment may be made to holders of any other class or series of capital stock, an amount equal to the greater of (a) 100% of the liquidation preference thereof plus all accrued dividends or (b) the amount that such holder would have been entitled to receive upon our liquidation, dissolution and winding up if all outstanding shares of Series A Convertible Preferred Stock had been converted into common stock immediately prior to such liquidation, dissolution or winding up.</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Dividends on the Series A Convertible Preferred Stock also accrue cumulatively at the rate of 5.5% per annum, payable quarterly in arrears. If we fail to declare and pay a dividend timely, the dividend rate will increase to 8.0% per annum until such time as all accrued but unpaid dividends have been paid in full. Dividends are payable quarterly in arrears and, at our option, either in cash or in-kind.</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holders of our Series A Convertible Preferred Stock also have certain redemption rights or put rights, including the right to require us to repurchase all or any portion of the Series A Convertible Preferred Stock on any date during the three months commencing on and immediately following March 16, 2027, March 16, 2030 and March 16, 2033, at 100% of the liquidation preference thereof plus all accrued but unpaid dividends, and the right, subject to certain exceptions, to require us to repurchase all or any portion of the Series A Convertible Preferred Stock upon certain change of control events at the greater of (a) 100% of the</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620"/>
          </w:cols>
          <w:pgMar w:left="820" w:top="220" w:right="800" w:bottom="0" w:gutter="0" w:footer="0" w:header="0"/>
          <w:type w:val="continuous"/>
        </w:sectPr>
      </w:pPr>
    </w:p>
    <w:bookmarkStart w:id="30" w:name="page31"/>
    <w:bookmarkEnd w:id="30"/>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liquidation preference thereof plus all accrued but unpaid dividends and (b) the consideration the holders would have received if they had converted their shares of Series A Convertible Preferred Stock into common stock immediately prior to the change of control event.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dividend and share repurchase obligations may impact our liquidity and reduce the amount of cash flow that we have available for working capital, capital expenditures, growth opportunities, acquisitions and other general corporate purposes. Our obligations to the holders of our Series A Convertible Preferred Stock could also limit our ability to obtain additional financing or increase our borrowing costs, which may adversely affect our financial condition. The preferential rights could also result in divergent interests between the holders of our Series A Convertible Preferred Stock and holders of our common stock.</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issuance of shares of our Series A Convertible Preferred Stock reduces the relative voting power of holders of our common stock, and the conversion and sale of those shares would dilute the ownership of such holders and may adversely affect the market price of our common stock. </w:t>
      </w:r>
      <w:r>
        <w:rPr>
          <w:rFonts w:ascii="Times New Roman" w:cs="Times New Roman" w:eastAsia="Times New Roman" w:hAnsi="Times New Roman"/>
          <w:sz w:val="20"/>
          <w:szCs w:val="20"/>
          <w:color w:val="auto"/>
        </w:rPr>
        <w:t>As of December 31, 2025, approximately 0.2 million shares of our Series A Convertible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Preferred Stock were outstanding, representing approximately 8% of our outstanding common stock, including the Series A Convertible Preferred Stock on an as-converted basis. Holders of Series A Convertible Preferred Stock are entitled to a cumulative dividend at the rate of 5.5% per annum, which is payable quarterly in arrears and, at our option, either in cash or in-kind. If we fail to declare and pay a dividend timely, the dividend rate will increase to 8.0% per annum until such time as all accrued but unpaid dividends have been paid in full.</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holders of our Series A Convertible Preferred Stock are entitled to vote, on an as-converted basis, together with holders of our common stock on all matters submitted to a vote of the holders of our common stock, the Series A Convertible Preferred Stock, and the subsequent issuance of additional shares of Series A Convertible Preferred Stock through the payment of in-kind dividends, effectively reduces the relative voting power of our common stock holders.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addition, the conversion of the Series A Convertible Preferred Stock to common stock would dilute the ownership interest of existing holders of our common stock. Any sales in the public market of the common stock issuable upon conversion of the Series A Convertible Preferred Stock would increase the number of shares of our common stock available for public trading and could adversely affect prevailing market prices of our common stock.</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We could be subject to actions or proposals from stockholders that do not align with our business strategies or the interests of our other stockholders. </w:t>
      </w:r>
      <w:r>
        <w:rPr>
          <w:rFonts w:ascii="Times New Roman" w:cs="Times New Roman" w:eastAsia="Times New Roman" w:hAnsi="Times New Roman"/>
          <w:sz w:val="20"/>
          <w:szCs w:val="20"/>
          <w:color w:val="auto"/>
        </w:rPr>
        <w:t>While we seek to actively engage with stockholders and consider their views on business, strategy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governance issues, responding to these stockholders could be costly and time-consuming. Activist stockholders may seek to involve themselves in the governance, strategic direction and operations of the Company through stockholder proposals or otherwise. Such proposals may disrupt our business and divert the attention of our management and employees, and any perceived uncertainties as to our future direction resulting from such a situation could interfere with our ability to effectively execute our strategic plans or could result in the loss of potential business opportunities, the perception that we need a change in the direction of our business or the perception that we are unstable or lack continuity, which may be exploited by our competitors, cause concern to our current or potential customers and make it more difficult for us to attract and retain qualified personnel and business partners, which could adversely affect our business. In addition, actions of activist stockholders could cause significant fluctuations in our stock price based on temporary or speculative market perceptions or other factors that do not necessarily reflect the underlying fundamentals and prospects of our business.</w:t>
      </w:r>
    </w:p>
    <w:p>
      <w:pPr>
        <w:spacing w:after="0" w:line="20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recognizes the importance of maintaining cybersecurity measures that are designed to safeguard our information systems and protect the confidentiality and integrity of data in our possession relating to our employees, customers and business assets.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information security program is enterprise-wide and includes cross-functional coordination between various departments across the Company, including, but not limited to, information security, technology, privacy, enterprise risk management and internal audit. The structure of our information security program is informed by the National Institute of Standards and Technology (“NIST”) Cybersecurity Framework to organize and maintain processes and tools to identify, protect, detect, respond and recover from threats and events.</w:t>
      </w:r>
    </w:p>
    <w:p>
      <w:pPr>
        <w:sectPr>
          <w:pgSz w:w="12240" w:h="15840" w:orient="portrait"/>
          <w:cols w:equalWidth="0" w:num="1">
            <w:col w:w="10600"/>
          </w:cols>
          <w:pgMar w:left="820" w:top="2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600"/>
          </w:cols>
          <w:pgMar w:left="820" w:top="220" w:right="820" w:bottom="0" w:gutter="0" w:footer="0" w:header="0"/>
          <w:type w:val="continuous"/>
        </w:sectPr>
      </w:pPr>
    </w:p>
    <w:bookmarkStart w:id="31" w:name="page32"/>
    <w:bookmarkEnd w:id="31"/>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information security program employs various information technology and protection methods designed to promote data security such as firewalls, intrusion prevention systems, denial of service detection, anomaly-based detection, anti-virus/anti-malware, endpoint encryption, and detection and response software, security information and event management system, identity management technology, security analytics, encryption and multi-factor authentication. Further, we recognize the risks associated with the use of third-party service providers and have processes designed to identify material risks related to third parties.</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conduct periodic reviews and tests of our information security program and also leverage audits by our internal audit team, tabletop exercises, penetration and vulnerability testing, simulations and other exercises to evaluate the effectiveness of our information security program and attempt to improve our security measures and planning. We collaborate with external experts, including consultants and auditors, in evaluating and testing our information security program. Our employees and certain of our contractors are required to participate in security awareness training at least annually.</w:t>
      </w:r>
    </w:p>
    <w:p>
      <w:pPr>
        <w:spacing w:after="0" w:line="2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Chief Technology Officer (“CTO”) is responsible for oversight of our information security strategy, program and operations. Our CTO has over 25 years of information technology experience, including leadership experience managing global information security, IT infrastructure and engineering. He holds a doctorate in Business Administration, Master of Business Administration, and Bachelor of Engineering in Electrical and Electronics Engineering / Information Systems. In previous roles at large-scale fintech and cybersecurity companies, our CTO designed comprehensive cybersecurity programs, and he managed and mitigated high-profile cybersecurity incidents to ensure business continuity.</w:t>
      </w:r>
    </w:p>
    <w:p>
      <w:pPr>
        <w:spacing w:after="0" w:line="2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Chief Information Security Officer (“CISO”), who reports directly to the CTO, is responsible for day-to-day assessment and management of cybersecurity risk. Our CISO has over 20 years of experience in various roles related to information security and related technology, including previously serving as Vice President of Information Technology and Senior Vice President of Information Technology at other companies, and holds a Bachelor of Science in Math and a Master of Business Administration in Computer Information Systems and Information Technology. Our CISO’s responsibilities in prior roles at large, global fintech and healthcare companies included initiatives to identify and reduce cybersecurity vulnerabilities.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cybersecurity risk management policies and procedures include internal notification procedures which, depending on the level of severity assigned to the event, may include direct notice to, among others, the Company’s Chief Executive Officer, Chief Financial Officer, General Counsel and Chief Privacy Officer. Members of the Company’s legal department support efforts to evaluate the materiality of any incidents; determine whether notice to third parties such as regulators, customers or vendors is required; determine whether any prohibition on insider trading is appropriate; and assess whether disclosure to stockholders or governmental filings, including with the SEC, are required. Our internal notification procedures also include notifying various Company information technology services managers, subject matter experts in the Company’s software department and other senior executives, and in certain cases, members of the Company’s board of directors, depending on the level of severity assigned to the event.</w:t>
      </w:r>
    </w:p>
    <w:p>
      <w:pPr>
        <w:spacing w:after="0" w:line="2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CTO attends regular meetings of the executive officer team, including our Chief Executive Officer, Chief Financial Officer and other senior executive officers, and he reports on cybersecurity matters as appropriate.</w:t>
      </w:r>
    </w:p>
    <w:p>
      <w:pPr>
        <w:spacing w:after="0" w:line="18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Board of Directors (the “Board”) exercises oversight over our risk management process directly, as well as through its various standing committees that address risks inherent in their respective areas of oversight. Primary oversight for cybersecurity risk management sits within the Board’s Risk Committee. The Risk Committee oversees cybersecurity risk identification, management and assessment as well as key processes and policies relating to the foregoing. The Risk Committee also reviews the adequacy and effectiveness of the Company’s cybersecurity program, as well as the steps taken by management to mitigate or otherwise control cybersecurity exposures and to identify future risks. Our CTO and CISO report regularly to the Risk Committee on cybersecurity and information security, including the tracking of key metrics, and the full Board reviews significant cybersecurity matters, where appropriate, including as part of the Company’s enterprise risk management program.</w:t>
      </w:r>
    </w:p>
    <w:p>
      <w:pPr>
        <w:spacing w:after="0" w:line="21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For a description of risks from known cybersecurity threats, including as a result of any prior cybersecurity incidents, that have materially affected or are reasonably likely to materially affect us, including our operations, business strategy, results of operations, or financial condition, see the risk factor </w:t>
      </w:r>
      <w:r>
        <w:rPr>
          <w:rFonts w:ascii="Times New Roman" w:cs="Times New Roman" w:eastAsia="Times New Roman" w:hAnsi="Times New Roman"/>
          <w:sz w:val="20"/>
          <w:szCs w:val="20"/>
          <w:b w:val="1"/>
          <w:bCs w:val="1"/>
          <w:i w:val="1"/>
          <w:iCs w:val="1"/>
          <w:color w:val="auto"/>
        </w:rPr>
        <w:t>“Our inability to protect our systems, solutions and data from cybersecurity threats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other technological risks could adversely affect our business operations or stock price and damage our brand and reputation” </w:t>
      </w:r>
      <w:r>
        <w:rPr>
          <w:rFonts w:ascii="Times New Roman" w:cs="Times New Roman" w:eastAsia="Times New Roman" w:hAnsi="Times New Roman"/>
          <w:sz w:val="20"/>
          <w:szCs w:val="20"/>
          <w:color w:val="auto"/>
        </w:rPr>
        <w:t>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Item 1A of Part I of this Report.</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620"/>
          </w:cols>
          <w:pgMar w:left="820" w:top="220" w:right="800" w:bottom="0" w:gutter="0" w:footer="0" w:header="0"/>
          <w:type w:val="continuous"/>
        </w:sectPr>
      </w:pPr>
    </w:p>
    <w:bookmarkStart w:id="32" w:name="page33"/>
    <w:bookmarkEnd w:id="32"/>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of December 31, 2025, NCR Voyix operated approximately 90 facilities in nearly 30 countries. All but one of these facilities are leased. The Company operates 2 research and development facilities while the remaining facilities consist of office, repair, and warehousing space and other miscellaneous sites.</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NCR Voyix is headquartered in Atlanta, Georgia, USA. Our address at our corporate headquarters is 864 Spring Street Northwest, Atlanta Georgia, 30308, USA.</w:t>
      </w:r>
    </w:p>
    <w:p>
      <w:pPr>
        <w:spacing w:after="0" w:line="17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Information regarding legal proceedings is included in Item 8 of Part II of this Report as part of Note 11, “Commitments and Contingencies”, of the Notes to Consolidated Financial Statements and is incorporated herein by reference.</w:t>
      </w:r>
    </w:p>
    <w:p>
      <w:pPr>
        <w:spacing w:after="0" w:line="17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600"/>
          </w:cols>
          <w:pgMar w:left="820" w:top="2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600"/>
          </w:cols>
          <w:pgMar w:left="820" w:top="220" w:right="820" w:bottom="0" w:gutter="0" w:footer="0" w:header="0"/>
          <w:type w:val="continuous"/>
        </w:sectPr>
      </w:pPr>
    </w:p>
    <w:bookmarkStart w:id="33" w:name="page34"/>
    <w:bookmarkEnd w:id="33"/>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left="1440" w:right="220" w:hanging="1439"/>
        <w:spacing w:after="0" w:line="286" w:lineRule="auto"/>
        <w:tabs>
          <w:tab w:leader="none" w:pos="142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THE REGISTRANT’S COMMON EQUITY, RELATED STOCKHOLDER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NCR Voyix common stock is listed on the New York Stock Exchange (NYSE) and trades under the symbol “VYX”. There were approximately 59,031 stockholders of record of NCR Voyix common stock as of February 19,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Historically, NCR Voyix has not paid cash dividends and does not anticipate the payment of cash dividends on NCR Voyix common stock in the immediate future. The declaration of dividends is restricted under our senior secured revolving credit facility and the terms of the indentures governing our senior unsecured notes, and would be further subject to the discretion of NCR Voyix’s Board of Directors.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following graph compares the relative investment performance of NCR Voyix stock, the Standard &amp; Poor’s MidCap 400 Stock Index, Standard &amp; Poor’s 500 Information Technology Sector and the Standard &amp; Poor’s 500 Stock Index. This graph covers the five-year period from December 31, 2020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163195</wp:posOffset>
            </wp:positionV>
            <wp:extent cx="6743700" cy="3583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743700" cy="358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Company / Index</w:t>
            </w:r>
          </w:p>
        </w:tc>
        <w:tc>
          <w:tcPr>
            <w:tcW w:w="49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
        </w:trPr>
        <w:tc>
          <w:tcPr>
            <w:tcW w:w="60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NCR Voyix Corporation</w:t>
            </w: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6080" w:type="dxa"/>
            <w:vAlign w:val="bottom"/>
            <w:gridSpan w:val="3"/>
            <w:vMerge w:val="continue"/>
          </w:tcPr>
          <w:p>
            <w:pPr>
              <w:spacing w:after="0"/>
              <w:rPr>
                <w:sz w:val="19"/>
                <w:szCs w:val="19"/>
                <w:color w:val="auto"/>
              </w:rPr>
            </w:pPr>
          </w:p>
        </w:tc>
        <w:tc>
          <w:tcPr>
            <w:tcW w:w="60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color w:val="auto"/>
              </w:rPr>
              <w:t>$ 107</w:t>
            </w:r>
          </w:p>
        </w:tc>
        <w:tc>
          <w:tcPr>
            <w:tcW w:w="2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
              <w:spacing w:after="0" w:line="227" w:lineRule="exact"/>
              <w:rPr>
                <w:sz w:val="20"/>
                <w:szCs w:val="20"/>
                <w:color w:val="auto"/>
              </w:rPr>
            </w:pPr>
            <w:r>
              <w:rPr>
                <w:rFonts w:ascii="Times New Roman" w:cs="Times New Roman" w:eastAsia="Times New Roman" w:hAnsi="Times New Roman"/>
                <w:sz w:val="20"/>
                <w:szCs w:val="20"/>
                <w:color w:val="auto"/>
              </w:rPr>
              <w:t>62</w:t>
            </w:r>
          </w:p>
        </w:tc>
        <w:tc>
          <w:tcPr>
            <w:tcW w:w="2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74</w:t>
            </w:r>
          </w:p>
        </w:tc>
        <w:tc>
          <w:tcPr>
            <w:tcW w:w="2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
              <w:spacing w:after="0" w:line="227" w:lineRule="exact"/>
              <w:rPr>
                <w:sz w:val="20"/>
                <w:szCs w:val="20"/>
                <w:color w:val="auto"/>
              </w:rPr>
            </w:pPr>
            <w:r>
              <w:rPr>
                <w:rFonts w:ascii="Times New Roman" w:cs="Times New Roman" w:eastAsia="Times New Roman" w:hAnsi="Times New Roman"/>
                <w:sz w:val="20"/>
                <w:szCs w:val="20"/>
                <w:color w:val="auto"/>
              </w:rPr>
              <w:t>61</w:t>
            </w:r>
          </w:p>
        </w:tc>
        <w:tc>
          <w:tcPr>
            <w:tcW w:w="2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w w:val="98"/>
              </w:rPr>
              <w:t>S&amp;P 500</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Stock Index</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$ 129</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166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r>
        <w:trPr>
          <w:trHeight w:val="255"/>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w w:val="98"/>
              </w:rPr>
              <w:t>S&amp;P 500</w:t>
            </w:r>
          </w:p>
        </w:tc>
        <w:tc>
          <w:tcPr>
            <w:tcW w:w="53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Information Technology Sector</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$ 135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97</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208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0" w:type="dxa"/>
            <w:vAlign w:val="bottom"/>
          </w:tcPr>
          <w:p>
            <w:pPr>
              <w:spacing w:after="0"/>
              <w:rPr>
                <w:sz w:val="1"/>
                <w:szCs w:val="1"/>
                <w:color w:val="auto"/>
              </w:rPr>
            </w:pPr>
          </w:p>
        </w:tc>
      </w:tr>
      <w:tr>
        <w:trPr>
          <w:trHeight w:val="260"/>
        </w:trPr>
        <w:tc>
          <w:tcPr>
            <w:tcW w:w="6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S&amp;P MidCap 400 Stock Index</w:t>
            </w:r>
          </w:p>
        </w:tc>
        <w:tc>
          <w:tcPr>
            <w:tcW w:w="6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$ 125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144</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-651510</wp:posOffset>
            </wp:positionV>
            <wp:extent cx="6045200" cy="673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045200" cy="673100"/>
                    </a:xfrm>
                    <a:prstGeom prst="rect">
                      <a:avLst/>
                    </a:prstGeom>
                    <a:noFill/>
                  </pic:spPr>
                </pic:pic>
              </a:graphicData>
            </a:graphic>
          </wp:anchor>
        </w:drawing>
      </w:r>
    </w:p>
    <w:p>
      <w:pPr>
        <w:ind w:left="1440" w:hanging="820"/>
        <w:spacing w:after="0"/>
        <w:tabs>
          <w:tab w:leader="none" w:pos="1440"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each case, assumes a $100 investment on December 31, 2020, and reinvestment of all dividends, if any.</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620"/>
          </w:cols>
          <w:pgMar w:left="820" w:top="220" w:right="800" w:bottom="0" w:gutter="0" w:footer="0" w:header="0"/>
          <w:type w:val="continuous"/>
        </w:sectPr>
      </w:pPr>
    </w:p>
    <w:bookmarkStart w:id="34" w:name="page35"/>
    <w:bookmarkEnd w:id="34"/>
    <w:p>
      <w:pPr>
        <w:ind w:left="19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Purchase of Company Equity Securities</w:t>
      </w:r>
    </w:p>
    <w:p>
      <w:pPr>
        <w:spacing w:after="0" w:line="254"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In March 2017, the Board approved a share repurchase program, with no expiration from the date of authorization, that provided for the repurchase of up to $300 million of the Company’s common stock (the “Repurchase Program,” as amended). In July 2018, the Board authorized an incremental $200 million of share repurchases under the Repurchase Program. On May 6, 2025, the Board amended and restated the Repurchase Program to (1) add an incremental $172 million of repurchase authority under the program, taking the total aggregate repurchase authority under the program to $200 million, and (2) to expand the repurchase authority to apply to repurchases of the Company’s Series A preferred stock, in addition to common stock. As of December 31, 2025, the Repurchase Program had an existing aggregate remaining repurchase authority of $122 million. On February 12, 2026, the Board amended the Repurchase Program to add an incremental $178 million of repurchase authority under the program, taking the total aggregate repurchase authority under the program to $300 million.</w:t>
      </w:r>
    </w:p>
    <w:p>
      <w:pPr>
        <w:spacing w:after="0" w:line="209"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We may utilize the Repurchase Program from time to time to opportunistically repurchase common stock and Series A preferred stock. The timing and amount of repurchases under the Repurchase Program will depend upon varying factors, including stock price, the Company’s performance, market conditions and other possible uses of cash. Repurchases under the Repurchase Program may be made from time to time in open market purchases, privately negotiated transactions, accelerated stock repurchase programs, issuer self-tender offers or otherwise. The repurchases will be made in compliance with applicable securities laws and may be discontinued at any time.</w:t>
      </w:r>
    </w:p>
    <w:p>
      <w:pPr>
        <w:spacing w:after="0" w:line="20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In November 2025, the Company repurchased 68,566 shares of Series A Convertible Preferred Stock from one shareholder for a total cash consideration of $74 million.</w:t>
      </w:r>
    </w:p>
    <w:p>
      <w:pPr>
        <w:spacing w:after="0" w:line="181"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Company’s 2017 Stock Incentive Plan allows shares to be surrendered to the Company to satisfy tax withholding obligations associated with the vesting of restricted stock units. The following table sets forth information with respect to our repurchases of shares of common stock (including shares surrendered to satisfy tax withholding) and Series A preferred stock during the three months ended December 31, 2025.</w:t>
      </w:r>
    </w:p>
    <w:p>
      <w:pPr>
        <w:spacing w:after="0" w:line="4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5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 purchased</w:t>
            </w: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0"/>
        </w:trPr>
        <w:tc>
          <w:tcPr>
            <w:tcW w:w="1960" w:type="dxa"/>
            <w:vAlign w:val="bottom"/>
            <w:vMerge w:val="restart"/>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80" w:type="dxa"/>
            <w:vAlign w:val="bottom"/>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6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as part of publicly announced plans</w:t>
            </w:r>
          </w:p>
        </w:tc>
        <w:tc>
          <w:tcPr>
            <w:tcW w:w="264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that may yet be purchased under the</w:t>
            </w:r>
          </w:p>
        </w:tc>
        <w:tc>
          <w:tcPr>
            <w:tcW w:w="0" w:type="dxa"/>
            <w:vAlign w:val="bottom"/>
          </w:tcPr>
          <w:p>
            <w:pPr>
              <w:spacing w:after="0"/>
              <w:rPr>
                <w:sz w:val="1"/>
                <w:szCs w:val="1"/>
                <w:color w:val="auto"/>
              </w:rPr>
            </w:pPr>
          </w:p>
        </w:tc>
      </w:tr>
      <w:tr>
        <w:trPr>
          <w:trHeight w:val="214"/>
        </w:trPr>
        <w:tc>
          <w:tcPr>
            <w:tcW w:w="196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tcPr>
          <w:p>
            <w:pPr>
              <w:jc w:val="right"/>
              <w:ind w:right="374"/>
              <w:spacing w:after="0" w:line="214" w:lineRule="exact"/>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0"/>
                <w:szCs w:val="20"/>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or programs</w:t>
            </w:r>
          </w:p>
        </w:tc>
        <w:tc>
          <w:tcPr>
            <w:tcW w:w="2640" w:type="dxa"/>
            <w:vAlign w:val="bottom"/>
            <w:tcBorders>
              <w:bottom w:val="single" w:sz="8" w:color="auto"/>
            </w:tcBorders>
            <w:gridSpan w:val="2"/>
          </w:tcPr>
          <w:p>
            <w:pPr>
              <w:ind w:left="140"/>
              <w:spacing w:after="0" w:line="214" w:lineRule="exact"/>
              <w:rPr>
                <w:sz w:val="20"/>
                <w:szCs w:val="20"/>
                <w:color w:val="auto"/>
              </w:rPr>
            </w:pPr>
            <w:r>
              <w:rPr>
                <w:rFonts w:ascii="Times New Roman" w:cs="Times New Roman" w:eastAsia="Times New Roman" w:hAnsi="Times New Roman"/>
                <w:sz w:val="16"/>
                <w:szCs w:val="16"/>
                <w:b w:val="1"/>
                <w:bCs w:val="1"/>
                <w:color w:val="auto"/>
              </w:rPr>
              <w:t>plans or programs (in millions)</w:t>
            </w:r>
            <w:r>
              <w:rPr>
                <w:rFonts w:ascii="Times New Roman" w:cs="Times New Roman" w:eastAsia="Times New Roman" w:hAnsi="Times New Roman"/>
                <w:sz w:val="20"/>
                <w:szCs w:val="20"/>
                <w:b w:val="1"/>
                <w:bCs w:val="1"/>
                <w:color w:val="auto"/>
                <w:vertAlign w:val="superscript"/>
              </w:rPr>
              <w:t>(2)(3)</w:t>
            </w:r>
          </w:p>
        </w:tc>
        <w:tc>
          <w:tcPr>
            <w:tcW w:w="0" w:type="dxa"/>
            <w:vAlign w:val="bottom"/>
          </w:tcPr>
          <w:p>
            <w:pPr>
              <w:spacing w:after="0"/>
              <w:rPr>
                <w:sz w:val="1"/>
                <w:szCs w:val="1"/>
                <w:color w:val="auto"/>
              </w:rPr>
            </w:pPr>
          </w:p>
        </w:tc>
      </w:tr>
      <w:tr>
        <w:trPr>
          <w:trHeight w:val="275"/>
        </w:trPr>
        <w:tc>
          <w:tcPr>
            <w:tcW w:w="1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10/1/2025 - 10/31/2025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300"/>
        </w:trPr>
        <w:tc>
          <w:tcPr>
            <w:tcW w:w="1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11/1/2025 - 11/30/2025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209,184</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197,578</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300"/>
        </w:trPr>
        <w:tc>
          <w:tcPr>
            <w:tcW w:w="1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12/1/2025 - 12/31/2025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364,905</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198,770</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6759575" cy="596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6759575" cy="596900"/>
                    </a:xfrm>
                    <a:prstGeom prst="rect">
                      <a:avLst/>
                    </a:prstGeom>
                    <a:noFill/>
                  </pic:spPr>
                </pic:pic>
              </a:graphicData>
            </a:graphic>
          </wp:anchor>
        </w:drawing>
      </w:r>
    </w:p>
    <w:p>
      <w:pPr>
        <w:spacing w:after="0" w:line="144" w:lineRule="exact"/>
        <w:rPr>
          <w:sz w:val="20"/>
          <w:szCs w:val="20"/>
          <w:color w:val="auto"/>
        </w:rPr>
      </w:pPr>
    </w:p>
    <w:p>
      <w:pPr>
        <w:jc w:val="both"/>
        <w:ind w:left="10" w:hanging="10"/>
        <w:spacing w:after="0" w:line="235" w:lineRule="auto"/>
        <w:tabs>
          <w:tab w:leader="none" w:pos="196"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December 31, 2025, approximately 179,989 shares were surrendered to the Company to satisfy tax withholding obligations associated with the vesting of restricted stock units issued to employees under the 2017 Stock Incentive Plan. With respect to these surrendered shares, the price paid per share is based on the fair value at the time of surrender.</w:t>
      </w:r>
    </w:p>
    <w:p>
      <w:pPr>
        <w:spacing w:after="0" w:line="2" w:lineRule="exact"/>
        <w:rPr>
          <w:rFonts w:ascii="Times New Roman" w:cs="Times New Roman" w:eastAsia="Times New Roman" w:hAnsi="Times New Roman"/>
          <w:sz w:val="23"/>
          <w:szCs w:val="23"/>
          <w:color w:val="auto"/>
          <w:vertAlign w:val="superscript"/>
        </w:rPr>
      </w:pPr>
    </w:p>
    <w:p>
      <w:pPr>
        <w:jc w:val="both"/>
        <w:ind w:left="10" w:hanging="10"/>
        <w:spacing w:after="0" w:line="229" w:lineRule="auto"/>
        <w:tabs>
          <w:tab w:leader="none" w:pos="204"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amounts available for repurchases under the Repurchase Program as of December 31, 2025. On May 6, 2025, the Board amended and restated the existing Repurchase Program to increase the total aggregate authority for future repurchases under the program to $200 million (which has subsequently been increased to $300 million).</w:t>
      </w:r>
    </w:p>
    <w:p>
      <w:pPr>
        <w:jc w:val="both"/>
        <w:ind w:left="10" w:hanging="10"/>
        <w:spacing w:after="0" w:line="229" w:lineRule="auto"/>
        <w:tabs>
          <w:tab w:leader="none" w:pos="201"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repurchases of the Company’s Series A Convertible Preferred Stock pursuant to the Repurchase Program. On November 12, 2025, NCR Voyix entered into a definitive agreement to repurchase 68,566 shares of Series A Convertible Preferred Stock from one shareholder for a total cash consideration of $74 million. The transaction closed on November 17, 2025.</w:t>
      </w:r>
    </w:p>
    <w:p>
      <w:pPr>
        <w:spacing w:after="0" w:line="183"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The Company’s ability to repurchase its common stock and preferred stock is subject to (i) certain restrictions under the terms of the Company’s senior secured revolving credit facility and the indentures governing its senior unsecured notes and (ii) the discretion of the Company’s Board of Directors. These restrictions are described in greater detail in the Company’s senior secured credit facilities and the indentures governing its senior unsecured notes</w:t>
      </w:r>
    </w:p>
    <w:p>
      <w:pPr>
        <w:spacing w:after="0" w:line="196"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630"/>
          </w:cols>
          <w:pgMar w:left="81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630"/>
          </w:cols>
          <w:pgMar w:left="810" w:top="220" w:right="80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Index to Management’s Discussion and Analysis of Financial Condition and Results of Operations (MD&amp;A)</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30"/>
        </w:trPr>
        <w:tc>
          <w:tcPr>
            <w:tcW w:w="878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Overview</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9"/>
              </w:rPr>
              <w:t>32</w:t>
            </w:r>
          </w:p>
        </w:tc>
        <w:tc>
          <w:tcPr>
            <w:tcW w:w="40" w:type="dxa"/>
            <w:vAlign w:val="bottom"/>
          </w:tcPr>
          <w:p>
            <w:pPr>
              <w:spacing w:after="0"/>
              <w:rPr>
                <w:sz w:val="19"/>
                <w:szCs w:val="19"/>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878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Significant Themes and Events</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9"/>
              </w:rPr>
              <w:t>32</w:t>
            </w:r>
          </w:p>
        </w:tc>
        <w:tc>
          <w:tcPr>
            <w:tcW w:w="40" w:type="dxa"/>
            <w:vAlign w:val="bottom"/>
          </w:tcPr>
          <w:p>
            <w:pPr>
              <w:spacing w:after="0"/>
              <w:rPr>
                <w:sz w:val="20"/>
                <w:szCs w:val="20"/>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Strategic Initiatives and Trends</w:t>
            </w:r>
          </w:p>
        </w:tc>
        <w:tc>
          <w:tcPr>
            <w:tcW w:w="628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99"/>
              </w:rPr>
              <w:t>33</w:t>
            </w:r>
          </w:p>
        </w:tc>
        <w:tc>
          <w:tcPr>
            <w:tcW w:w="40" w:type="dxa"/>
            <w:vAlign w:val="bottom"/>
          </w:tcPr>
          <w:p>
            <w:pPr>
              <w:spacing w:after="0"/>
              <w:rPr>
                <w:sz w:val="20"/>
                <w:szCs w:val="20"/>
                <w:color w:val="auto"/>
              </w:rPr>
            </w:pPr>
          </w:p>
        </w:tc>
      </w:tr>
      <w:tr>
        <w:trPr>
          <w:trHeight w:val="235"/>
        </w:trPr>
        <w:tc>
          <w:tcPr>
            <w:tcW w:w="878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Business Overview</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9"/>
              </w:rPr>
              <w:t>32</w:t>
            </w:r>
          </w:p>
        </w:tc>
        <w:tc>
          <w:tcPr>
            <w:tcW w:w="40" w:type="dxa"/>
            <w:vAlign w:val="bottom"/>
          </w:tcPr>
          <w:p>
            <w:pPr>
              <w:spacing w:after="0"/>
              <w:rPr>
                <w:sz w:val="20"/>
                <w:szCs w:val="20"/>
                <w:color w:val="auto"/>
              </w:rPr>
            </w:pPr>
          </w:p>
        </w:tc>
      </w:tr>
      <w:tr>
        <w:trPr>
          <w:trHeight w:val="20"/>
        </w:trPr>
        <w:tc>
          <w:tcPr>
            <w:tcW w:w="15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1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Macroeconomic Trends</w:t>
            </w:r>
          </w:p>
        </w:tc>
        <w:tc>
          <w:tcPr>
            <w:tcW w:w="6880" w:type="dxa"/>
            <w:vAlign w:val="bottom"/>
            <w:gridSpan w:val="6"/>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99"/>
              </w:rPr>
              <w:t>34</w:t>
            </w:r>
          </w:p>
        </w:tc>
        <w:tc>
          <w:tcPr>
            <w:tcW w:w="40" w:type="dxa"/>
            <w:vAlign w:val="bottom"/>
          </w:tcPr>
          <w:p>
            <w:pPr>
              <w:spacing w:after="0"/>
              <w:rPr>
                <w:sz w:val="20"/>
                <w:szCs w:val="20"/>
                <w:color w:val="auto"/>
              </w:rPr>
            </w:pPr>
          </w:p>
        </w:tc>
      </w:tr>
      <w:tr>
        <w:trPr>
          <w:trHeight w:val="235"/>
        </w:trPr>
        <w:tc>
          <w:tcPr>
            <w:tcW w:w="878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Results of Operations</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9"/>
              </w:rPr>
              <w:t>35</w:t>
            </w:r>
          </w:p>
        </w:tc>
        <w:tc>
          <w:tcPr>
            <w:tcW w:w="40" w:type="dxa"/>
            <w:vAlign w:val="bottom"/>
          </w:tcPr>
          <w:p>
            <w:pPr>
              <w:spacing w:after="0"/>
              <w:rPr>
                <w:sz w:val="20"/>
                <w:szCs w:val="20"/>
                <w:color w:val="auto"/>
              </w:rPr>
            </w:pPr>
          </w:p>
        </w:tc>
      </w:tr>
      <w:tr>
        <w:trPr>
          <w:trHeight w:val="20"/>
        </w:trPr>
        <w:tc>
          <w:tcPr>
            <w:tcW w:w="172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878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Financial Condition, Liquidity and Capital Resources</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9"/>
              </w:rPr>
              <w:t>45</w:t>
            </w:r>
          </w:p>
        </w:tc>
        <w:tc>
          <w:tcPr>
            <w:tcW w:w="40" w:type="dxa"/>
            <w:vAlign w:val="bottom"/>
          </w:tcPr>
          <w:p>
            <w:pPr>
              <w:spacing w:after="0"/>
              <w:rPr>
                <w:sz w:val="20"/>
                <w:szCs w:val="20"/>
                <w:color w:val="auto"/>
              </w:rPr>
            </w:pPr>
          </w:p>
        </w:tc>
      </w:tr>
      <w:tr>
        <w:trPr>
          <w:trHeight w:val="235"/>
        </w:trPr>
        <w:tc>
          <w:tcPr>
            <w:tcW w:w="42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Critical Accounting Estimates</w:t>
            </w:r>
          </w:p>
        </w:tc>
        <w:tc>
          <w:tcPr>
            <w:tcW w:w="4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99"/>
              </w:rPr>
              <w:t>48</w:t>
            </w:r>
          </w:p>
        </w:tc>
        <w:tc>
          <w:tcPr>
            <w:tcW w:w="40" w:type="dxa"/>
            <w:vAlign w:val="bottom"/>
          </w:tcPr>
          <w:p>
            <w:pPr>
              <w:spacing w:after="0"/>
              <w:rPr>
                <w:sz w:val="20"/>
                <w:szCs w:val="20"/>
                <w:color w:val="auto"/>
              </w:rPr>
            </w:pPr>
          </w:p>
        </w:tc>
      </w:tr>
      <w:tr>
        <w:trPr>
          <w:trHeight w:val="20"/>
        </w:trPr>
        <w:tc>
          <w:tcPr>
            <w:tcW w:w="2400" w:type="dxa"/>
            <w:vAlign w:val="bottom"/>
            <w:gridSpan w:val="5"/>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3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Recently Issued Accounting Pronouncements</w:t>
            </w:r>
          </w:p>
        </w:tc>
        <w:tc>
          <w:tcPr>
            <w:tcW w:w="51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20"/>
                <w:szCs w:val="20"/>
                <w:color w:val="0000FF"/>
                <w:w w:val="99"/>
              </w:rPr>
              <w:t>52</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800"/>
          </w:cols>
          <w:pgMar w:left="1000" w:top="2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800"/>
          </w:cols>
          <w:pgMar w:left="1000" w:top="220" w:right="1440" w:bottom="0" w:gutter="0" w:footer="0" w:header="0"/>
          <w:type w:val="continuous"/>
        </w:sectPr>
      </w:pPr>
    </w:p>
    <w:bookmarkStart w:id="36" w:name="page37"/>
    <w:bookmarkEnd w:id="36"/>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DISCUSSION AND ANALYSIS OF FINANCIAL CONDITION AND RESULTS OF</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OPERATIONS (MD&amp;A)</w:t>
      </w:r>
    </w:p>
    <w:p>
      <w:pPr>
        <w:spacing w:after="0" w:line="22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This section should be read in conjunction with the audited Consolidated Financial Statements and related Notes included in Item 8 of Part II of this Report. Management’s Discussion and Analysis of Financial Condition and Results of Operations contains forward-looking statements. See “Forward-Looking Statements” and “Risk Factors” in Item 1A of this Annual Report for a discussion of the uncertainties, risks and assumptions associated with these forward-looking statements that could cause future results to differ materially from those reflected in this section.</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Our discussion within MD&amp;A is organized as follows:</w:t>
      </w:r>
    </w:p>
    <w:p>
      <w:pPr>
        <w:spacing w:after="0" w:line="86" w:lineRule="exact"/>
        <w:rPr>
          <w:sz w:val="20"/>
          <w:szCs w:val="20"/>
          <w:color w:val="auto"/>
        </w:rPr>
      </w:pPr>
    </w:p>
    <w:p>
      <w:pPr>
        <w:jc w:val="both"/>
        <w:ind w:left="720" w:right="20" w:hanging="370"/>
        <w:spacing w:after="0" w:line="268"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Overview. </w:t>
      </w:r>
      <w:r>
        <w:rPr>
          <w:rFonts w:ascii="Times New Roman" w:cs="Times New Roman" w:eastAsia="Times New Roman" w:hAnsi="Times New Roman"/>
          <w:sz w:val="20"/>
          <w:szCs w:val="20"/>
          <w:color w:val="auto"/>
        </w:rPr>
        <w:t>This section contains background information on the Company, a summary of significant events and initiatives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during the year and an overview of trends that impact or may impact our financial performance in order to provide context for management’s discussion and analysis of our financial condition and results of operations.</w:t>
      </w:r>
    </w:p>
    <w:p>
      <w:pPr>
        <w:spacing w:after="0" w:line="29" w:lineRule="exact"/>
        <w:rPr>
          <w:rFonts w:ascii="Times New Roman" w:cs="Times New Roman" w:eastAsia="Times New Roman" w:hAnsi="Times New Roman"/>
          <w:sz w:val="20"/>
          <w:szCs w:val="20"/>
          <w:color w:val="auto"/>
        </w:rPr>
      </w:pPr>
    </w:p>
    <w:p>
      <w:pPr>
        <w:jc w:val="both"/>
        <w:ind w:left="720" w:right="20" w:hanging="370"/>
        <w:spacing w:after="0" w:line="262"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Results of operations. </w:t>
      </w:r>
      <w:r>
        <w:rPr>
          <w:rFonts w:ascii="Times New Roman" w:cs="Times New Roman" w:eastAsia="Times New Roman" w:hAnsi="Times New Roman"/>
          <w:sz w:val="20"/>
          <w:szCs w:val="20"/>
          <w:color w:val="auto"/>
        </w:rPr>
        <w:t>This section contains an analysis of our results of operations presented in the accompanying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Consolidated Statements of Operations by comparing the results for the year ended December 31, 2025 to the results for the year ended December 31, 2024 as well as a comparison of the results for the year ended December 31, 2024 to the results for the year ended December 31, 2023.</w:t>
      </w:r>
    </w:p>
    <w:p>
      <w:pPr>
        <w:spacing w:after="0" w:line="35" w:lineRule="exact"/>
        <w:rPr>
          <w:rFonts w:ascii="Times New Roman" w:cs="Times New Roman" w:eastAsia="Times New Roman" w:hAnsi="Times New Roman"/>
          <w:sz w:val="20"/>
          <w:szCs w:val="20"/>
          <w:color w:val="auto"/>
        </w:rPr>
      </w:pPr>
    </w:p>
    <w:p>
      <w:pPr>
        <w:ind w:left="720" w:hanging="370"/>
        <w:spacing w:after="0" w:line="285"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Liquidity and capital resources. </w:t>
      </w:r>
      <w:r>
        <w:rPr>
          <w:rFonts w:ascii="Times New Roman" w:cs="Times New Roman" w:eastAsia="Times New Roman" w:hAnsi="Times New Roman"/>
          <w:sz w:val="20"/>
          <w:szCs w:val="20"/>
          <w:color w:val="auto"/>
        </w:rPr>
        <w:t>This section provides an analysis of our cash flows and a discussion of our contractual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obligations at December 31, 2025.</w:t>
      </w:r>
    </w:p>
    <w:p>
      <w:pPr>
        <w:spacing w:after="0" w:line="13" w:lineRule="exact"/>
        <w:rPr>
          <w:rFonts w:ascii="Times New Roman" w:cs="Times New Roman" w:eastAsia="Times New Roman" w:hAnsi="Times New Roman"/>
          <w:sz w:val="20"/>
          <w:szCs w:val="20"/>
          <w:color w:val="auto"/>
        </w:rPr>
      </w:pPr>
    </w:p>
    <w:p>
      <w:pPr>
        <w:jc w:val="both"/>
        <w:ind w:left="720" w:right="20" w:hanging="370"/>
        <w:spacing w:after="0" w:line="259" w:lineRule="auto"/>
        <w:tabs>
          <w:tab w:leader="none" w:pos="720" w:val="left"/>
        </w:tabs>
        <w:numPr>
          <w:ilvl w:val="0"/>
          <w:numId w:val="2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Critical accounting estimates. </w:t>
      </w:r>
      <w:r>
        <w:rPr>
          <w:rFonts w:ascii="Times New Roman" w:cs="Times New Roman" w:eastAsia="Times New Roman" w:hAnsi="Times New Roman"/>
          <w:sz w:val="20"/>
          <w:szCs w:val="20"/>
          <w:color w:val="auto"/>
        </w:rPr>
        <w:t>This section contains a discussion of the accounting policies that we believe are important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financial condition and results of operations and that require judgment and estimates on the part of management in their application. In addition, all of our significant accounting policies, including critical accounting policies, are summarized in Note 1, “Basis of Presentation and Significant Accounting Policies”, in the Notes to Consolidated Financial Statements in Item 8 of Part II of this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THEMES AND EVENTS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more fully discussed in later sections of this MD&amp;A, the following were highlights for the year ended December 31, 2025:</w:t>
      </w:r>
    </w:p>
    <w:p>
      <w:pPr>
        <w:spacing w:after="0" w:line="70" w:lineRule="exact"/>
        <w:rPr>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was $2.7 billion, decreased 5% compared to prior year</w:t>
      </w:r>
    </w:p>
    <w:p>
      <w:pPr>
        <w:spacing w:after="0" w:line="90"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Recurring revenue increased 3% from the prior year and comprised 62% of total consolidated revenue</w:t>
      </w:r>
    </w:p>
    <w:p>
      <w:pPr>
        <w:spacing w:after="0" w:line="90" w:lineRule="exact"/>
        <w:rPr>
          <w:rFonts w:ascii="Times New Roman" w:cs="Times New Roman" w:eastAsia="Times New Roman" w:hAnsi="Times New Roman"/>
          <w:sz w:val="20"/>
          <w:szCs w:val="20"/>
          <w:color w:val="auto"/>
        </w:rPr>
      </w:pPr>
    </w:p>
    <w:p>
      <w:pPr>
        <w:ind w:left="1440" w:right="20" w:hanging="370"/>
        <w:spacing w:after="0" w:line="281" w:lineRule="auto"/>
        <w:tabs>
          <w:tab w:leader="none" w:pos="14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Software and services revenue, decreased 3% from the prior year and comprised 74% of total consolidated revenue</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$425 million, increased 22% compared to prior year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OVERVIEW</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NCR Voyix is a global platform-powered leader in unified commerce for shopping and dining, empowering our customers to deliver quality experiences to consumers through our cloud-based platform, microservices-based applications and comprehensive service offerings.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Completion of NCR Atleos Spin-Off Transaction</w:t>
      </w:r>
    </w:p>
    <w:p>
      <w:pPr>
        <w:spacing w:after="0" w:line="2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On October 16, 2023, the Company completed the spin-off of its ATM-focused businesses, including our self-service banking, payments &amp; network and telecommunications and technology businesses, into an independent, publicly traded company, NCR Atleos. Accordingly, the historical financial results of NCR Atleos are reflected as discontinued operations in the Company’s consolidated financial statements. Refer to Note 2, “Discontinued Operations”, in the Notes to Consolidated Financial Statements in Item 8 of Part II of this Report, for additional information.</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620"/>
          </w:cols>
          <w:pgMar w:left="820" w:top="220" w:right="800" w:bottom="0" w:gutter="0" w:footer="0" w:header="0"/>
          <w:type w:val="continuous"/>
        </w:sectPr>
      </w:pPr>
    </w:p>
    <w:bookmarkStart w:id="37" w:name="page38"/>
    <w:bookmarkEnd w:id="37"/>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Digital Banking Business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completed the sale of our Digital Banking segment businesses (the “Digital Banking Sale”) to an affiliate of The Veritas Capital Fund VIII, L.P. (the “Buyer”) on September 30, 2024. The purchase price for the Digital Banking Sale was $2.45 billion in cash, subject to a post-closing adjustment, as well as contingent consideration of up to an additional $100 million in cash upon the achievement of a specified return on the Buyer’s invested capital at the time of any future sale. The historical financial results of the Digital Banking segment businesses are reflected as discontinued operations in the Company’s consolidated financial statements. Refer to Note 2, “Discontinued Operations”, in the Notes to Consolidated Financial Statements in Item 8 of Part II of this Report,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Transition of Hardware Business to ODM Model</w:t>
      </w:r>
    </w:p>
    <w:p>
      <w:pPr>
        <w:spacing w:after="0" w:line="25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August 2024, the Company announced its entry into a commercial agreement with Ennoconn Corporation (“Ennoconn”) to transition its self-checkout and point-of-sale hardware businesses to an outsourced design and manufacturing model including the sale of certain assets relating to these businesses (the “Hardware Business Transition”). Under the terms of the agreement, Ennoconn will design, manufacture, warrant, supply and ship self-checkout and point-of sale hardware directly to the Company’s customers, and the Company will sell hardware to its customers as a sales agent for Ennoconn and continue to provide its point-of sale and self-checkout software as well as key support and maintenance services. As a result of the Hardware Business Transition, the Company will record commission revenue from point-of-sale and self-checkout hardware sales as an agent for Ennoconn on a net basis, excluding the costs paid to Ennoconn. In January 2026, we announced the commencement of the implementation phase of this new hardware model and began migrating certain aspects of our hardware business to Ennoconn.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INITIATIVES</w:t>
      </w:r>
    </w:p>
    <w:p>
      <w:pPr>
        <w:spacing w:after="0" w:line="25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color w:val="auto"/>
        </w:rPr>
        <w:t>Our strategy is to advance our position as the platform-powered leader in unified commerce for shopping and dining at a time when consumer expectations for seamless, personalized and frictionless experiences continue to rise across both retail and restaurant environments. Today’s consumers expect to shop, order, pay and receive service effortlessly, whether online, in store, curbside or through mobile channels. They increasingly favor brands that deliver speed, consistency and convenience at every interaction. These heightened expectations have placed pressure on retailers and restaurants to modernize their operations and adopt technologies that can support real-time engagement and continuous innovation across digital and physical touchpoints. Guided by our mission to make the consumer experience seamless, we focus on delivering integrated, scalable solutions that enable restaurants and retailers to differentiate their brands and operate more efficiently in a rapidly evolving commerce landscape. By combining hardware, software, services and payments into a unified suite of offerings, we can deliver to customers an end-to-end value proposition that is difficult to match. As the adoption of our platform and solutions accelerates, we expect to strengthen customer relationships, enhance recurring revenue streams and broaden monetization opportunities across our Voyix Commerce Platform. To achieve our goals, we are focused on: (i) delivering a modern suite of SaaS solutions, (ii) expanding adoption of our integrated payment solutions, (iii) scaling our differentiated services offerings and (iv) investing in innovation to further expand our platform capabilities.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Ongoing Business Trends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Retail and Restaurants</w:t>
      </w:r>
    </w:p>
    <w:p>
      <w:pPr>
        <w:spacing w:after="0" w:line="2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Within the retail and restaurant industries, businesses around the world are under constant pressure to meet consumer demands for speed, convenience, personalization and security. These companies, in turn, are requiring their technology providers to rapidly enhance and expand their capabilities to meet ever-increasing consumer requirements. As a result, competition in these industries continues to intensify. Today, software and payment companies, in particular, are focused on investing in technology, expanding their use of data and automation and utilizing cutting-edge tools to meet these rising demands.</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NCR Voyix serves customers of all sizes, from small- and medium-sized companies to large, blue-chip enterprises, representing some of the world’s leading consumer brands. Many retailers and restaurants are facing challenges to distinguish themselves from their competitors, sparking attempts at differentiation through personalized and seamless consumer experiences to win in their respective markets. Creating differentiated experiences for consumers requires companies to perform advanced data analytics and use other technologies to determine how to best tailor experiences to meet demand and deploy changes rapidly.</w:t>
      </w:r>
    </w:p>
    <w:p>
      <w:pPr>
        <w:spacing w:after="0" w:line="2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recently introduced our modernized suite of microservices-based applications, natively integrated with our proprietary, cloud-based platform. Within this suite of SaaS applications, we now deliver our next-generation point-of-sale and self-checkout solutions for retail and restaurant customers, which are vital to collect a wide variety of important data points, including, among others, transactional, consumer, inventory, pricing and promotional. We expect to continue to transition customers from legacy solutions to</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620"/>
          </w:cols>
          <w:pgMar w:left="820" w:top="220" w:right="800" w:bottom="0" w:gutter="0" w:footer="0" w:header="0"/>
          <w:type w:val="continuous"/>
        </w:sectPr>
      </w:pPr>
    </w:p>
    <w:bookmarkStart w:id="38" w:name="page39"/>
    <w:bookmarkEnd w:id="38"/>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these modernized SaaS applications and other innovative offerings, and we believe that this transition will benefit customers by providing end-to-end capabilities, driving value for our customers’ businesses and for consumers.</w:t>
      </w:r>
    </w:p>
    <w:p>
      <w:pPr>
        <w:spacing w:after="0" w:line="18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current offerings largely consist of SaaS solutions and related services that are purpose-built to deliver unified commerce capabilities to the shopping and dining industries, which marks a shift in business model from our historical, hardware-driven model. We made this strategic change to our business model in order to deliver solutions to retail and restaurant customers that enable them to provide high-quality consumer experiences, while positioning us to innovate quickly and drive long-term growth opportunities.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Macroeconomic Trends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Trade and Macroeconomic Environment</w:t>
      </w:r>
    </w:p>
    <w:p>
      <w:pPr>
        <w:spacing w:after="0" w:line="25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U.S. and other global markets currently are experiencing increased volatility due to the effects of, among other things, recent changes in imposed or threatened tariffs and other trade policy changes by the U.S. and other countries, escalating geopolitical and civil conflict, including, but not limited to, Eastern Europe and the Middle East, inflationary pressures, such as increasing prices for goods and services, changing fiscal and/or monetary policies in the U.S. and elsewhere, and fluctuating currency exchange rates, elevated unemployment rates, global shortages of microchips and and other technology components, primarily driven by the adoption of artificial intelligence, and, in some locations around the world, decreased economic conditions that indicate the potential for near-term recessions or slowdowns.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Given our geographic presence and the multinational composition of our customer base, our business and financial performance could be impacted by the evolving global economic landscape. We are subject to a variety of risks posed by the current macroeconomic environment, and we are continuously monitoring the direct and indirect impacts of these circumstances. U.S. foreign trade policy continues to evolve under the current presidential administration, including the recent announcement of a number of new tariffs in the wake of the U.S. Supreme Court’s February 2026 decision to uphold a ruling that invalidated certain tariffs previously imposed. It is currently unknown if these tariffs will remain in place, be expanded or be removed, and we do not know whether foreign countries will adopt retaliatory trade policies in response to these new tariffs. As a result of these developments, we do not know the full extent of the impact of the recently invalidated tariffs or of the new tariffs recently imposed, and there is much uncertainty surrounding the long-term effects that they will have on economic conditions within the U.S. and elsewhere.</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result of these uncertainties, we may be impacted in the future within the markets in which we operate; however, we have taken steps to mitigate part of the impact of these tariffs and are currently analyzing opportunities to further address the impact of these tariffs. Economic pressures on retail and restaurant businesses and on consumers could negatively affect our revenue and profitability in future periods. The current trade policy environment is expected to continue to evolve, but we cannot forecast the impact that these or other changes will have on our business and financial performance.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U.S. Legislation</w:t>
      </w:r>
    </w:p>
    <w:p>
      <w:pPr>
        <w:spacing w:after="0" w:line="2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On July 4, 2025, Public Law 119-21, commonly referred to as the One Big Beautiful Bill Act (“OBBBA”), was enacted in the U.S., which included significant changes to the federal income tax system. There were no material impacts on our consolidated financial statements for the year ended December 31, 2025 resulting from the enactment of the OBBBA. We will continue to evaluate the full impact of these legislative changes as more guidance becomes available.</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we continue to execute on our strategy to shift to recurring revenue, our revenues and earnings will become more predictable; however, the broader implications of these macroeconomic events on our business, results of operations and overall financial position, particularly in the short term, remain uncertain.</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further discussion of trends, uncertainties and other factors that could affect our operating results, see the section entitled “Risk Factors” in Part I, Item 1A of this Form 10-K. For further information on exposures to foreign exchange risk, refer to Item 7A, “Quantitative and Qualitative Disclosures about Market Risk”, in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Revision</w:t>
      </w: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During the third quarter of 2025, the Company identified errors in previously issued financial statements related to the historical pre-Spin-Off operations of NCR Atleos that impact their revenue and certain expense items which were reported as Income (loss) from discontinued operations. The Company evaluated the impact of these errors and concluded that they were immaterial to all</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620"/>
          </w:cols>
          <w:pgMar w:left="820" w:top="220" w:right="800" w:bottom="0" w:gutter="0" w:footer="0" w:header="0"/>
          <w:type w:val="continuous"/>
        </w:sectPr>
      </w:pPr>
    </w:p>
    <w:bookmarkStart w:id="39" w:name="page40"/>
    <w:bookmarkEnd w:id="39"/>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previously issued financial statements, individually and in the aggregate. However, the Company is revising the previously issued financial statements to correct these errors, as well as certain previously identified out-of-period adjustments related to the Spin-Off, into the appropriate period (fiscal 2023). The correction of these items resulted in a decrease to previously reported net income (loss) from discontinued operations, net of tax, of $5 million and $6 million for the years ended December 31, 2023 and 2022, respectively. The correction also resulted in a $0.04 and $0.04 per share decrease to previously reported basic and diluted earnings per share from discontinued operations for 2023 and 2022, respectively, with the same impact to total net income per share. The net impact of this revision decreases the opening balance of retained earnings (deficit) by $8 million at December 31, 2022 as compared to what was previously reported. The net impact of this revision increases retained earnings (deficit) by $12 million and increases accumulated other comprehensive income (loss) by $10 million at December 31, 2023 as compared to what was previously reported. The impact of the revision did not affect the Company’s reported balances of continuing operations or cash flows for any reporting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Out-of-period Adjustments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the first quarter of 2023, the Company recorded a $10 million out-of-period adjustment to increase operating expenses and increase an employee-related liability in order to correct for an understatement of such same balances during the fourth quarter of 2022.</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the second quarter of 2024, the Company recorded an out-of-period adjustment to decrease revenue by $10 million, decrease accounts receivable by $5 million, and increase contract liabilities by $5 million. The amount related to periods prior to 2024 was $4 million of revenue.</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During the third quarter of 2024, the Company recorded an out-of-period adjustment related to foreign currency to increase other expense, net, by approximately $8 million, increase other current liabilities by approximately $4 million and increase accumulated other comprehensive income (loss) by approximately $4 million. The amount related to 2023 was $2 million of other expense, net.</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evaluated the impact of the out-of-period adjustments and concluded they are not material to the consolidated financial statements for any of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ACH Disbursements</w:t>
      </w:r>
    </w:p>
    <w:p>
      <w:pPr>
        <w:spacing w:after="0" w:line="2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February 2024, the Company identified fraudulent automated clearing house “ACH” disbursements from a Company bank account. The cumulative amount of these disbursements totaled $34 million, and we recovered $16 million related to this matter. The Company is pursuing insurance recoveries in connection with this matter; however, there can be no assurance that the Company will be successful in recovering additional amounts of the unauthorized ACH disbursements from the Company’s insurance providers.</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For further information on potential risks and uncertainties see Part I, Item 1A “Risk Factors” and Part II, Item 9A “Controls and Procedures”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 Ransomware Incident</w:t>
      </w:r>
    </w:p>
    <w:p>
      <w:pPr>
        <w:spacing w:after="0" w:line="25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As previously disclosed, in April 2023 the Company determined that a single data center outage impacting certain of its commerce customers was caused by a cyber ransomware incident. Following investigation, the Company concluded that the incident impacted operations for customers only with respect to specific Aloha cloud-based services and Counterpoint. Functionality was fully restored to all impacted customers, and we built a new cloud environment to host the affected applications.</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As of December 31, 2025, the Company has incurred a cumulative $47 million of expenses related to the cyber ransomware incident and has recovered $37 million under our insurance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further information see Item 1C “Cybersecurity” of this Form 10-K.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results of operations present the continuing operations of NCR Voyix for the years ended December 31, 2025, 2024 and 2023. All results from Digital Banking and NCR Atleos are presented within income (loss) from discontinued operations for these periods.</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620"/>
          </w:cols>
          <w:pgMar w:left="820" w:top="220" w:right="800" w:bottom="0" w:gutter="0" w:footer="0" w:header="0"/>
          <w:type w:val="continuous"/>
        </w:sectPr>
      </w:pPr>
    </w:p>
    <w:bookmarkStart w:id="40" w:name="page41"/>
    <w:bookmarkEnd w:id="40"/>
    <w:p>
      <w:pPr>
        <w:ind w:left="19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Key Strategic Financial Metrics</w:t>
      </w:r>
    </w:p>
    <w:p>
      <w:pPr>
        <w:spacing w:after="0" w:line="257" w:lineRule="exact"/>
        <w:rPr>
          <w:sz w:val="20"/>
          <w:szCs w:val="20"/>
          <w:color w:val="auto"/>
        </w:rPr>
      </w:pPr>
    </w:p>
    <w:p>
      <w:pPr>
        <w:ind w:left="10"/>
        <w:spacing w:after="0" w:line="281" w:lineRule="auto"/>
        <w:rPr>
          <w:sz w:val="20"/>
          <w:szCs w:val="20"/>
          <w:color w:val="auto"/>
        </w:rPr>
      </w:pPr>
      <w:r>
        <w:rPr>
          <w:rFonts w:ascii="Times New Roman" w:cs="Times New Roman" w:eastAsia="Times New Roman" w:hAnsi="Times New Roman"/>
          <w:sz w:val="20"/>
          <w:szCs w:val="20"/>
          <w:color w:val="auto"/>
        </w:rPr>
        <w:t>The following tables show our key strategic financial metrics for the years ended December 31, 2025, 2024 and 2023, the relative percentage that those amounts represent to total revenue, and the change in those amounts year-over-year.</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Recurring revenue as a percentage of total revenue</w:t>
      </w:r>
    </w:p>
    <w:p>
      <w:pPr>
        <w:spacing w:after="0" w:line="169"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Percentage of Total Revenue</w:t>
            </w:r>
          </w:p>
        </w:tc>
        <w:tc>
          <w:tcPr>
            <w:tcW w:w="60" w:type="dxa"/>
            <w:vAlign w:val="bottom"/>
          </w:tcPr>
          <w:p>
            <w:pPr>
              <w:spacing w:after="0"/>
              <w:rPr>
                <w:sz w:val="18"/>
                <w:szCs w:val="18"/>
                <w:color w:val="auto"/>
              </w:rPr>
            </w:pPr>
          </w:p>
        </w:tc>
        <w:tc>
          <w:tcPr>
            <w:tcW w:w="220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65"/>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3"/>
                <w:szCs w:val="23"/>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2024 v 2023</w:t>
            </w:r>
          </w:p>
        </w:tc>
      </w:tr>
      <w:tr>
        <w:trPr>
          <w:trHeight w:val="313"/>
        </w:trPr>
        <w:tc>
          <w:tcPr>
            <w:tcW w:w="2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Recurring revenue</w:t>
            </w:r>
            <w:r>
              <w:rPr>
                <w:rFonts w:ascii="Times New Roman" w:cs="Times New Roman" w:eastAsia="Times New Roman" w:hAnsi="Times New Roman"/>
                <w:sz w:val="26"/>
                <w:szCs w:val="26"/>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1,676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62.4 %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57.8 %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50.9 %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267"/>
        </w:trPr>
        <w:tc>
          <w:tcPr>
            <w:tcW w:w="26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All other revenue</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1,011</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1,189</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1,554</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37.6 %</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42.2 %</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49.1 %</w:t>
            </w:r>
          </w:p>
        </w:tc>
        <w:tc>
          <w:tcPr>
            <w:tcW w:w="60" w:type="dxa"/>
            <w:vAlign w:val="bottom"/>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60"/>
        </w:trPr>
        <w:tc>
          <w:tcPr>
            <w:tcW w:w="2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2,687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0"/>
        </w:trPr>
        <w:tc>
          <w:tcPr>
            <w:tcW w:w="2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781800" cy="622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6781800" cy="622300"/>
                    </a:xfrm>
                    <a:prstGeom prst="rect">
                      <a:avLst/>
                    </a:prstGeom>
                    <a:noFill/>
                  </pic:spPr>
                </pic:pic>
              </a:graphicData>
            </a:graphic>
          </wp:anchor>
        </w:drawing>
      </w:r>
    </w:p>
    <w:p>
      <w:pPr>
        <w:spacing w:after="0" w:line="6" w:lineRule="exact"/>
        <w:rPr>
          <w:sz w:val="20"/>
          <w:szCs w:val="20"/>
          <w:color w:val="auto"/>
        </w:rPr>
      </w:pPr>
    </w:p>
    <w:p>
      <w:pPr>
        <w:jc w:val="both"/>
        <w:ind w:left="190" w:hanging="190"/>
        <w:spacing w:after="0" w:line="235" w:lineRule="auto"/>
        <w:tabs>
          <w:tab w:leader="none" w:pos="177"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Recurring revenue includes all revenue streams from contracts where there is a predictable revenue pattern that will occur at regular intervals with a relatively high degree of certainty. This includes hardware and software maintenance revenue, SaaS solutions revenue, payment processing revenue, and certain professional services arrangements as well as term-based software license arrangements that include customer termination rights.</w:t>
      </w:r>
    </w:p>
    <w:p>
      <w:pPr>
        <w:spacing w:after="0" w:line="1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Revenue by type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6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1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Percentage of Total Revenue</w:t>
            </w:r>
          </w:p>
        </w:tc>
        <w:tc>
          <w:tcPr>
            <w:tcW w:w="2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65"/>
        </w:trPr>
        <w:tc>
          <w:tcPr>
            <w:tcW w:w="2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2024 v 2023</w:t>
            </w:r>
          </w:p>
        </w:tc>
        <w:tc>
          <w:tcPr>
            <w:tcW w:w="0" w:type="dxa"/>
            <w:vAlign w:val="bottom"/>
          </w:tcPr>
          <w:p>
            <w:pPr>
              <w:spacing w:after="0"/>
              <w:rPr>
                <w:sz w:val="1"/>
                <w:szCs w:val="1"/>
                <w:color w:val="auto"/>
              </w:rPr>
            </w:pPr>
          </w:p>
        </w:tc>
      </w:tr>
      <w:tr>
        <w:trPr>
          <w:trHeight w:val="212"/>
        </w:trPr>
        <w:tc>
          <w:tcPr>
            <w:tcW w:w="2700" w:type="dxa"/>
            <w:vAlign w:val="bottom"/>
            <w:gridSpan w:val="2"/>
          </w:tcPr>
          <w:p>
            <w:pPr>
              <w:ind w:left="260"/>
              <w:spacing w:after="0" w:line="212" w:lineRule="exact"/>
              <w:rPr>
                <w:sz w:val="20"/>
                <w:szCs w:val="20"/>
                <w:color w:val="auto"/>
              </w:rPr>
            </w:pPr>
            <w:r>
              <w:rPr>
                <w:rFonts w:ascii="Times New Roman" w:cs="Times New Roman" w:eastAsia="Times New Roman" w:hAnsi="Times New Roman"/>
                <w:sz w:val="20"/>
                <w:szCs w:val="20"/>
                <w:color w:val="auto"/>
              </w:rPr>
              <w:t>Software and services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1,986</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2,049</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2,108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73.9 %</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72.7 %</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66.6 %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w w:val="94"/>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60"/>
        </w:trPr>
        <w:tc>
          <w:tcPr>
            <w:tcW w:w="270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revenue</w:t>
            </w:r>
          </w:p>
        </w:tc>
        <w:tc>
          <w:tcPr>
            <w:tcW w:w="18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6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4"/>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gridSpan w:val="4"/>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6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Hardware revenue</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701</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1,058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26.1 %</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27.3 %</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33.4 %</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w w:val="94"/>
              </w:rPr>
              <w:t>(9)%</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60"/>
        </w:trPr>
        <w:tc>
          <w:tcPr>
            <w:tcW w:w="26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2,687</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3,166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8"/>
              </w:rPr>
              <w:t>100.0 %</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10"/>
          </w:tcPr>
          <w:p>
            <w:pPr>
              <w:jc w:val="right"/>
              <w:spacing w:after="0"/>
              <w:rPr>
                <w:sz w:val="20"/>
                <w:szCs w:val="20"/>
                <w:color w:val="auto"/>
              </w:rPr>
            </w:pPr>
            <w:r>
              <w:rPr>
                <w:rFonts w:ascii="Times New Roman" w:cs="Times New Roman" w:eastAsia="Times New Roman" w:hAnsi="Times New Roman"/>
                <w:sz w:val="20"/>
                <w:szCs w:val="20"/>
                <w:color w:val="auto"/>
              </w:rPr>
              <w:t>100.0 %   100.0 %</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4"/>
              </w:rPr>
              <w:t>(5)%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by geography</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77"/>
        </w:trPr>
        <w:tc>
          <w:tcPr>
            <w:tcW w:w="27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Revenue by Geographic Area</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United States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1,641</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61 %</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1,706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61 %</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2,056</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65 %</w:t>
            </w:r>
          </w:p>
        </w:tc>
        <w:tc>
          <w:tcPr>
            <w:tcW w:w="0" w:type="dxa"/>
            <w:vAlign w:val="bottom"/>
          </w:tcPr>
          <w:p>
            <w:pPr>
              <w:spacing w:after="0"/>
              <w:rPr>
                <w:sz w:val="1"/>
                <w:szCs w:val="1"/>
                <w:color w:val="auto"/>
              </w:rPr>
            </w:pPr>
          </w:p>
        </w:tc>
      </w:tr>
      <w:tr>
        <w:trPr>
          <w:trHeight w:val="300"/>
        </w:trPr>
        <w:tc>
          <w:tcPr>
            <w:tcW w:w="35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Americas (excluding United States)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188</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7 %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239</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230</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7 %</w:t>
            </w:r>
          </w:p>
        </w:tc>
        <w:tc>
          <w:tcPr>
            <w:tcW w:w="0" w:type="dxa"/>
            <w:vAlign w:val="bottom"/>
          </w:tcPr>
          <w:p>
            <w:pPr>
              <w:spacing w:after="0"/>
              <w:rPr>
                <w:sz w:val="1"/>
                <w:szCs w:val="1"/>
                <w:color w:val="auto"/>
              </w:rPr>
            </w:pPr>
          </w:p>
        </w:tc>
      </w:tr>
      <w:tr>
        <w:trPr>
          <w:trHeight w:val="300"/>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w w:val="99"/>
              </w:rPr>
              <w:t>Europe, Middle East and Africa</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587</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22 %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566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531</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17 %</w:t>
            </w:r>
          </w:p>
        </w:tc>
        <w:tc>
          <w:tcPr>
            <w:tcW w:w="0" w:type="dxa"/>
            <w:vAlign w:val="bottom"/>
          </w:tcPr>
          <w:p>
            <w:pPr>
              <w:spacing w:after="0"/>
              <w:rPr>
                <w:sz w:val="1"/>
                <w:szCs w:val="1"/>
                <w:color w:val="auto"/>
              </w:rPr>
            </w:pPr>
          </w:p>
        </w:tc>
      </w:tr>
      <w:tr>
        <w:trPr>
          <w:trHeight w:val="303"/>
        </w:trPr>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Asia Pacific</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271</w:t>
            </w:r>
          </w:p>
        </w:tc>
        <w:tc>
          <w:tcPr>
            <w:tcW w:w="80" w:type="dxa"/>
            <w:vAlign w:val="bottom"/>
            <w:tcBorders>
              <w:bottom w:val="single" w:sz="8" w:color="auto"/>
            </w:tcBorders>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10 %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307</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349</w:t>
            </w:r>
          </w:p>
        </w:tc>
        <w:tc>
          <w:tcPr>
            <w:tcW w:w="60" w:type="dxa"/>
            <w:vAlign w:val="bottom"/>
            <w:tcBorders>
              <w:bottom w:val="single" w:sz="8" w:color="auto"/>
            </w:tcBorders>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11 %</w:t>
            </w:r>
          </w:p>
        </w:tc>
        <w:tc>
          <w:tcPr>
            <w:tcW w:w="0" w:type="dxa"/>
            <w:vAlign w:val="bottom"/>
          </w:tcPr>
          <w:p>
            <w:pPr>
              <w:spacing w:after="0"/>
              <w:rPr>
                <w:sz w:val="1"/>
                <w:szCs w:val="1"/>
                <w:color w:val="auto"/>
              </w:rPr>
            </w:pPr>
          </w:p>
        </w:tc>
      </w:tr>
      <w:tr>
        <w:trPr>
          <w:trHeight w:val="260"/>
        </w:trPr>
        <w:tc>
          <w:tcPr>
            <w:tcW w:w="27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2,687</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100 %</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2,818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3,166</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100 %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-2475865</wp:posOffset>
            </wp:positionV>
            <wp:extent cx="6781800" cy="746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6781800" cy="7461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-1174115</wp:posOffset>
            </wp:positionV>
            <wp:extent cx="6769100" cy="1193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6769100" cy="1193800"/>
                    </a:xfrm>
                    <a:prstGeom prst="rect">
                      <a:avLst/>
                    </a:prstGeom>
                    <a:noFill/>
                  </pic:spPr>
                </pic:pic>
              </a:graphicData>
            </a:graphic>
          </wp:anchor>
        </w:drawing>
      </w:r>
    </w:p>
    <w:p>
      <w:pPr>
        <w:spacing w:after="0" w:line="139" w:lineRule="exact"/>
        <w:rPr>
          <w:sz w:val="20"/>
          <w:szCs w:val="20"/>
          <w:color w:val="auto"/>
        </w:rPr>
      </w:pPr>
    </w:p>
    <w:p>
      <w:pPr>
        <w:jc w:val="both"/>
        <w:ind w:left="10" w:right="20"/>
        <w:spacing w:after="0" w:line="229" w:lineRule="auto"/>
        <w:rPr>
          <w:sz w:val="20"/>
          <w:szCs w:val="20"/>
          <w:color w:val="auto"/>
        </w:rPr>
      </w:pPr>
      <w:r>
        <w:rPr>
          <w:rFonts w:ascii="Times New Roman" w:cs="Times New Roman" w:eastAsia="Times New Roman" w:hAnsi="Times New Roman"/>
          <w:sz w:val="20"/>
          <w:szCs w:val="20"/>
          <w:b w:val="1"/>
          <w:bCs w:val="1"/>
          <w:i w:val="1"/>
          <w:iCs w:val="1"/>
          <w:color w:val="auto"/>
        </w:rPr>
        <w:t>Net income (loss) from continuing operations attributable to NCR Voyix and Adjusted EBITDA</w:t>
      </w:r>
      <w:r>
        <w:rPr>
          <w:rFonts w:ascii="Times New Roman" w:cs="Times New Roman" w:eastAsia="Times New Roman" w:hAnsi="Times New Roman"/>
          <w:sz w:val="26"/>
          <w:szCs w:val="26"/>
          <w:b w:val="1"/>
          <w:bCs w:val="1"/>
          <w:i w:val="1"/>
          <w:iCs w:val="1"/>
          <w:color w:val="auto"/>
          <w:vertAlign w:val="superscript"/>
        </w:rPr>
        <w:t>(2)</w:t>
      </w:r>
      <w:r>
        <w:rPr>
          <w:rFonts w:ascii="Times New Roman" w:cs="Times New Roman" w:eastAsia="Times New Roman" w:hAnsi="Times New Roman"/>
          <w:sz w:val="20"/>
          <w:szCs w:val="20"/>
          <w:b w:val="1"/>
          <w:bCs w:val="1"/>
          <w:i w:val="1"/>
          <w:iCs w:val="1"/>
          <w:color w:val="auto"/>
        </w:rPr>
        <w:t xml:space="preserve"> as a percentage of total revenue</w:t>
      </w:r>
    </w:p>
    <w:p>
      <w:pPr>
        <w:spacing w:after="0" w:line="13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Percentage of Total Revenue</w:t>
            </w:r>
          </w:p>
        </w:tc>
        <w:tc>
          <w:tcPr>
            <w:tcW w:w="60" w:type="dxa"/>
            <w:vAlign w:val="bottom"/>
          </w:tcPr>
          <w:p>
            <w:pPr>
              <w:spacing w:after="0"/>
              <w:rPr>
                <w:sz w:val="18"/>
                <w:szCs w:val="18"/>
                <w:color w:val="auto"/>
              </w:rPr>
            </w:pPr>
          </w:p>
        </w:tc>
        <w:tc>
          <w:tcPr>
            <w:tcW w:w="21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65"/>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23"/>
                <w:szCs w:val="23"/>
                <w:color w:val="auto"/>
              </w:rPr>
            </w:pPr>
          </w:p>
        </w:tc>
        <w:tc>
          <w:tcPr>
            <w:tcW w:w="62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3"/>
                <w:szCs w:val="23"/>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3"/>
                <w:szCs w:val="23"/>
                <w:color w:val="auto"/>
              </w:rPr>
            </w:pP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0" w:type="dxa"/>
            <w:vAlign w:val="bottom"/>
          </w:tcPr>
          <w:p>
            <w:pPr>
              <w:spacing w:after="0"/>
              <w:rPr>
                <w:sz w:val="1"/>
                <w:szCs w:val="1"/>
                <w:color w:val="auto"/>
              </w:rPr>
            </w:pPr>
          </w:p>
        </w:tc>
      </w:tr>
      <w:tr>
        <w:trPr>
          <w:trHeight w:val="177"/>
        </w:trPr>
        <w:tc>
          <w:tcPr>
            <w:tcW w:w="2920" w:type="dxa"/>
            <w:vAlign w:val="bottom"/>
          </w:tcPr>
          <w:p>
            <w:pPr>
              <w:ind w:left="220"/>
              <w:spacing w:after="0" w:line="177" w:lineRule="exact"/>
              <w:rPr>
                <w:sz w:val="20"/>
                <w:szCs w:val="20"/>
                <w:color w:val="auto"/>
              </w:rPr>
            </w:pPr>
            <w:r>
              <w:rPr>
                <w:rFonts w:ascii="Times New Roman" w:cs="Times New Roman" w:eastAsia="Times New Roman" w:hAnsi="Times New Roman"/>
                <w:sz w:val="20"/>
                <w:szCs w:val="20"/>
                <w:color w:val="auto"/>
              </w:rPr>
              <w:t>Net income (loss) from</w:t>
            </w: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92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continuing operations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60"/>
        </w:trPr>
        <w:tc>
          <w:tcPr>
            <w:tcW w:w="29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attributable to NCR Voyix</w:t>
            </w:r>
          </w:p>
        </w:tc>
        <w:tc>
          <w:tcPr>
            <w:tcW w:w="20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29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6"/>
                <w:szCs w:val="26"/>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-667385</wp:posOffset>
            </wp:positionV>
            <wp:extent cx="6769100" cy="635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6769100" cy="635000"/>
                    </a:xfrm>
                    <a:prstGeom prst="rect">
                      <a:avLst/>
                    </a:prstGeom>
                    <a:noFill/>
                  </pic:spPr>
                </pic:pic>
              </a:graphicData>
            </a:graphic>
          </wp:anchor>
        </w:drawing>
      </w:r>
    </w:p>
    <w:p>
      <w:pPr>
        <w:ind w:left="130" w:hanging="130"/>
        <w:spacing w:after="0" w:line="217" w:lineRule="auto"/>
        <w:tabs>
          <w:tab w:leader="none" w:pos="130"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Refer to our definition of Adjusted EBITDA in the section entitled “Non-GAAP Financial Measures and Use of Certain Terms” below.</w:t>
      </w:r>
    </w:p>
    <w:p>
      <w:pPr>
        <w:sectPr>
          <w:pgSz w:w="12240" w:h="15840" w:orient="portrait"/>
          <w:cols w:equalWidth="0" w:num="1">
            <w:col w:w="10630"/>
          </w:cols>
          <w:pgMar w:left="81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630"/>
          </w:cols>
          <w:pgMar w:left="810" w:top="220" w:right="800" w:bottom="0" w:gutter="0" w:footer="0" w:header="0"/>
          <w:type w:val="continuous"/>
        </w:sectPr>
      </w:pPr>
    </w:p>
    <w:bookmarkStart w:id="41" w:name="page42"/>
    <w:bookmarkEnd w:id="41"/>
    <w:p>
      <w:pPr>
        <w:ind w:left="19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auto"/>
        </w:rPr>
        <w:t>Non-GAAP Financial Measures and Use of Certain Terms:</w:t>
      </w:r>
    </w:p>
    <w:p>
      <w:pPr>
        <w:spacing w:after="0" w:line="253" w:lineRule="exact"/>
        <w:rPr>
          <w:sz w:val="20"/>
          <w:szCs w:val="20"/>
          <w:color w:val="auto"/>
        </w:rPr>
      </w:pPr>
    </w:p>
    <w:p>
      <w:pPr>
        <w:jc w:val="both"/>
        <w:ind w:left="1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Adjusted Earnings Before Interest, Taxes, Depreciation and Amortization (“Adjusted EBITDA”) </w:t>
      </w:r>
      <w:r>
        <w:rPr>
          <w:rFonts w:ascii="Times New Roman" w:cs="Times New Roman" w:eastAsia="Times New Roman" w:hAnsi="Times New Roman"/>
          <w:sz w:val="20"/>
          <w:szCs w:val="20"/>
          <w:color w:val="auto"/>
        </w:rPr>
        <w:t>Our management uses the non-GAAP measure Adjusted EBITDA because it provides useful information to investors as an indicator of strength and performance of the Company’s ongoing business operations, including funding discretionary spending such as capital expenditures, strategic acquisitions, and other investments. We determine Adjusted EBITDA based on 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strategic initiative costs and litigation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income (loss) from continuing operations attributable to NCR Voyix. This format is useful to investors because it allows analysis and comparability of operating trends. It also includes the same information that is used by our management to make decisions regarding the segments and to assess our financial performance. Refer to the table below for the reconciliations of net income (loss) from continuing operations attributable to NCR Voyix (GAAP) to Adjusted EBITDA (non-GAAP).</w:t>
      </w:r>
    </w:p>
    <w:p>
      <w:pPr>
        <w:spacing w:after="0" w:line="219"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Our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p>
      <w:pPr>
        <w:spacing w:after="0" w:line="9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7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(loss) from continuing operations attributable to NCR Voyix (GAAP)</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42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r>
      <w:tr>
        <w:trPr>
          <w:trHeight w:val="284"/>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Pension mark-to-market adjustments</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w:t>
            </w:r>
          </w:p>
        </w:tc>
      </w:tr>
      <w:tr>
        <w:trPr>
          <w:trHeight w:val="285"/>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199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190</w:t>
            </w:r>
          </w:p>
        </w:tc>
      </w:tr>
      <w:tr>
        <w:trPr>
          <w:trHeight w:val="285"/>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Acquisition-related amortization of intangibles</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25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41</w:t>
            </w:r>
          </w:p>
        </w:tc>
      </w:tr>
      <w:tr>
        <w:trPr>
          <w:trHeight w:val="304"/>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60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294</w:t>
            </w:r>
          </w:p>
        </w:tc>
      </w:tr>
      <w:tr>
        <w:trPr>
          <w:trHeight w:val="264"/>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36"/>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Acquisition-related costs</w:t>
            </w:r>
            <w:r>
              <w:rPr>
                <w:rFonts w:ascii="Times New Roman" w:cs="Times New Roman" w:eastAsia="Times New Roman" w:hAnsi="Times New Roman"/>
                <w:sz w:val="26"/>
                <w:szCs w:val="26"/>
                <w:color w:val="auto"/>
                <w:vertAlign w:val="superscript"/>
              </w:rPr>
              <w:t>(2)</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r>
      <w:tr>
        <w:trPr>
          <w:trHeight w:val="264"/>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Loss (gain) on debt extinguishment</w:t>
            </w:r>
          </w:p>
        </w:tc>
        <w:tc>
          <w:tcPr>
            <w:tcW w:w="220" w:type="dxa"/>
            <w:vAlign w:val="bottom"/>
          </w:tcPr>
          <w:p>
            <w:pPr>
              <w:spacing w:after="0"/>
              <w:rPr>
                <w:sz w:val="22"/>
                <w:szCs w:val="22"/>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46</w:t>
            </w:r>
          </w:p>
        </w:tc>
      </w:tr>
      <w:tr>
        <w:trPr>
          <w:trHeight w:val="287"/>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184</w:t>
            </w:r>
          </w:p>
        </w:tc>
      </w:tr>
      <w:tr>
        <w:trPr>
          <w:trHeight w:val="285"/>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34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140</w:t>
            </w:r>
          </w:p>
        </w:tc>
      </w:tr>
      <w:tr>
        <w:trPr>
          <w:trHeight w:val="319"/>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Transformation and restructuring costs</w:t>
            </w:r>
            <w:r>
              <w:rPr>
                <w:rFonts w:ascii="Times New Roman" w:cs="Times New Roman" w:eastAsia="Times New Roman" w:hAnsi="Times New Roman"/>
                <w:sz w:val="26"/>
                <w:szCs w:val="26"/>
                <w:color w:val="auto"/>
                <w:vertAlign w:val="superscript"/>
              </w:rPr>
              <w:t>(3)</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124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Separation costs</w:t>
            </w:r>
            <w:r>
              <w:rPr>
                <w:rFonts w:ascii="Times New Roman" w:cs="Times New Roman" w:eastAsia="Times New Roman" w:hAnsi="Times New Roman"/>
                <w:sz w:val="26"/>
                <w:szCs w:val="26"/>
                <w:color w:val="auto"/>
                <w:vertAlign w:val="superscript"/>
              </w:rPr>
              <w:t>(4)</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w:t>
            </w:r>
          </w:p>
        </w:tc>
      </w:tr>
      <w:tr>
        <w:trPr>
          <w:trHeight w:val="264"/>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Loss (gain) on disposal of businesses</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w:t>
            </w:r>
          </w:p>
        </w:tc>
      </w:tr>
      <w:tr>
        <w:trPr>
          <w:trHeight w:val="306"/>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devaluation</w:t>
            </w:r>
            <w:r>
              <w:rPr>
                <w:rFonts w:ascii="Times New Roman" w:cs="Times New Roman" w:eastAsia="Times New Roman" w:hAnsi="Times New Roman"/>
                <w:sz w:val="26"/>
                <w:szCs w:val="26"/>
                <w:color w:val="auto"/>
                <w:vertAlign w:val="superscript"/>
              </w:rPr>
              <w:t>(5)</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75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Fraudulent ACH disbursements</w:t>
            </w:r>
            <w:r>
              <w:rPr>
                <w:rFonts w:ascii="Times New Roman" w:cs="Times New Roman" w:eastAsia="Times New Roman" w:hAnsi="Times New Roman"/>
                <w:sz w:val="26"/>
                <w:szCs w:val="26"/>
                <w:color w:val="auto"/>
                <w:vertAlign w:val="superscript"/>
              </w:rPr>
              <w:t>(6)</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w:t>
            </w:r>
          </w:p>
        </w:tc>
      </w:tr>
      <w:tr>
        <w:trPr>
          <w:trHeight w:val="285"/>
        </w:trPr>
        <w:tc>
          <w:tcPr>
            <w:tcW w:w="75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Cyber ransomware incident recovery costs</w:t>
            </w:r>
            <w:r>
              <w:rPr>
                <w:rFonts w:ascii="Times New Roman" w:cs="Times New Roman" w:eastAsia="Times New Roman" w:hAnsi="Times New Roman"/>
                <w:sz w:val="26"/>
                <w:szCs w:val="26"/>
                <w:color w:val="auto"/>
                <w:vertAlign w:val="superscript"/>
              </w:rPr>
              <w:t>(7)</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w:t>
            </w:r>
          </w:p>
        </w:tc>
      </w:tr>
      <w:tr>
        <w:trPr>
          <w:trHeight w:val="285"/>
        </w:trPr>
        <w:tc>
          <w:tcPr>
            <w:tcW w:w="752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Strategic initiatives</w:t>
            </w:r>
            <w:r>
              <w:rPr>
                <w:rFonts w:ascii="Times New Roman" w:cs="Times New Roman" w:eastAsia="Times New Roman" w:hAnsi="Times New Roman"/>
                <w:sz w:val="26"/>
                <w:szCs w:val="26"/>
                <w:color w:val="auto"/>
                <w:vertAlign w:val="superscript"/>
              </w:rPr>
              <w:t>(8)</w:t>
            </w: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67"/>
        </w:trPr>
        <w:tc>
          <w:tcPr>
            <w:tcW w:w="7520" w:type="dxa"/>
            <w:vAlign w:val="bottom"/>
          </w:tcPr>
          <w:p>
            <w:pPr>
              <w:spacing w:after="0" w:line="267" w:lineRule="exact"/>
              <w:rPr>
                <w:sz w:val="20"/>
                <w:szCs w:val="20"/>
                <w:color w:val="auto"/>
              </w:rPr>
            </w:pPr>
            <w:r>
              <w:rPr>
                <w:rFonts w:ascii="Times New Roman" w:cs="Times New Roman" w:eastAsia="Times New Roman" w:hAnsi="Times New Roman"/>
                <w:sz w:val="20"/>
                <w:szCs w:val="20"/>
                <w:color w:val="auto"/>
              </w:rPr>
              <w:t>Litigation costs</w:t>
            </w:r>
            <w:r>
              <w:rPr>
                <w:rFonts w:ascii="Times New Roman" w:cs="Times New Roman" w:eastAsia="Times New Roman" w:hAnsi="Times New Roman"/>
                <w:sz w:val="26"/>
                <w:szCs w:val="26"/>
                <w:color w:val="auto"/>
                <w:vertAlign w:val="superscript"/>
              </w:rPr>
              <w:t>(9)</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22</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7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Adjusted EBITDA (Non-GAAP)</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425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333</w:t>
            </w:r>
          </w:p>
        </w:tc>
      </w:tr>
      <w:tr>
        <w:trPr>
          <w:trHeight w:val="20"/>
        </w:trPr>
        <w:tc>
          <w:tcPr>
            <w:tcW w:w="7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-3507740</wp:posOffset>
            </wp:positionV>
            <wp:extent cx="6629400" cy="3527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6629400" cy="3527425"/>
                    </a:xfrm>
                    <a:prstGeom prst="rect">
                      <a:avLst/>
                    </a:prstGeom>
                    <a:noFill/>
                  </pic:spPr>
                </pic:pic>
              </a:graphicData>
            </a:graphic>
          </wp:anchor>
        </w:drawing>
      </w:r>
    </w:p>
    <w:p>
      <w:pPr>
        <w:jc w:val="both"/>
        <w:ind w:left="10"/>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During the three months ended September 30, 2023, it was determined that the transactions underlying the unrealized gains on terminated interest rate swap and cap agreements reported in Accumulated other comprehensive income were probable of not occurring under ASC 815, </w:t>
      </w:r>
      <w:r>
        <w:rPr>
          <w:rFonts w:ascii="Times New Roman" w:cs="Times New Roman" w:eastAsia="Times New Roman" w:hAnsi="Times New Roman"/>
          <w:sz w:val="16"/>
          <w:szCs w:val="16"/>
          <w:b w:val="1"/>
          <w:bCs w:val="1"/>
          <w:i w:val="1"/>
          <w:iCs w:val="1"/>
          <w:color w:val="auto"/>
        </w:rPr>
        <w:t>Derivatives and Hedging</w:t>
      </w:r>
      <w:r>
        <w:rPr>
          <w:rFonts w:ascii="Times New Roman" w:cs="Times New Roman" w:eastAsia="Times New Roman" w:hAnsi="Times New Roman"/>
          <w:sz w:val="16"/>
          <w:szCs w:val="16"/>
          <w:color w:val="auto"/>
        </w:rPr>
        <w:t>. As such, $18 million of unrealized gains were recognized in Interest expense. Refer to Note 15, “Derivatives and Hedging Instruments” in the Notes to Consolidated Financial Statements in Item 8 of Part II of this Report.</w:t>
      </w:r>
    </w:p>
    <w:p>
      <w:pPr>
        <w:ind w:left="150" w:hanging="150"/>
        <w:spacing w:after="0" w:line="213" w:lineRule="auto"/>
        <w:tabs>
          <w:tab w:leader="none" w:pos="15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professional fees, retention bonuses, and other costs incurred related to acquisitions, which are considered non-operational in nature.</w:t>
      </w:r>
    </w:p>
    <w:p>
      <w:pPr>
        <w:spacing w:after="0" w:line="2" w:lineRule="exact"/>
        <w:rPr>
          <w:rFonts w:ascii="Times New Roman" w:cs="Times New Roman" w:eastAsia="Times New Roman" w:hAnsi="Times New Roman"/>
          <w:sz w:val="19"/>
          <w:szCs w:val="19"/>
          <w:color w:val="auto"/>
          <w:vertAlign w:val="superscript"/>
        </w:rPr>
      </w:pPr>
    </w:p>
    <w:p>
      <w:pPr>
        <w:ind w:left="10" w:hanging="10"/>
        <w:spacing w:after="0" w:line="215" w:lineRule="auto"/>
        <w:tabs>
          <w:tab w:leader="none" w:pos="165"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integration, severance, and other exit and disposal costs, which are considered non-operational in nature. Included in transformation and restructuring costs for the year ended December 31, 2025 was a gain of $10 million related to the sale of property, plant and equipment.</w:t>
      </w:r>
    </w:p>
    <w:p>
      <w:pPr>
        <w:spacing w:after="0" w:line="1" w:lineRule="exact"/>
        <w:rPr>
          <w:rFonts w:ascii="Times New Roman" w:cs="Times New Roman" w:eastAsia="Times New Roman" w:hAnsi="Times New Roman"/>
          <w:sz w:val="21"/>
          <w:szCs w:val="21"/>
          <w:color w:val="auto"/>
          <w:vertAlign w:val="superscript"/>
        </w:rPr>
      </w:pPr>
    </w:p>
    <w:p>
      <w:pPr>
        <w:ind w:left="10" w:hanging="10"/>
        <w:spacing w:after="0" w:line="216" w:lineRule="auto"/>
        <w:tabs>
          <w:tab w:leader="none" w:pos="16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costs incurred as a result of the Spin-Off. Professional fees to effect the Spin-Off including separation management, organizational design, and legal fees have been classified within discontinued operations through October 16, 2023, the separation date.</w:t>
      </w:r>
    </w:p>
    <w:p>
      <w:pPr>
        <w:spacing w:after="0" w:line="1" w:lineRule="exact"/>
        <w:rPr>
          <w:rFonts w:ascii="Times New Roman" w:cs="Times New Roman" w:eastAsia="Times New Roman" w:hAnsi="Times New Roman"/>
          <w:sz w:val="21"/>
          <w:szCs w:val="21"/>
          <w:color w:val="auto"/>
          <w:vertAlign w:val="superscript"/>
        </w:rPr>
      </w:pPr>
    </w:p>
    <w:p>
      <w:pPr>
        <w:ind w:left="150" w:hanging="150"/>
        <w:spacing w:after="0" w:line="210" w:lineRule="auto"/>
        <w:tabs>
          <w:tab w:leader="none" w:pos="15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gains and losses recognized during the year due to changes in valuation of the Lebanese pound and the Egyptian pound.</w:t>
      </w:r>
    </w:p>
    <w:p>
      <w:pPr>
        <w:spacing w:after="0" w:line="2" w:lineRule="exact"/>
        <w:rPr>
          <w:rFonts w:ascii="Times New Roman" w:cs="Times New Roman" w:eastAsia="Times New Roman" w:hAnsi="Times New Roman"/>
          <w:sz w:val="19"/>
          <w:szCs w:val="19"/>
          <w:color w:val="auto"/>
          <w:vertAlign w:val="superscript"/>
        </w:rPr>
      </w:pPr>
    </w:p>
    <w:p>
      <w:pPr>
        <w:ind w:left="10" w:right="20" w:hanging="10"/>
        <w:spacing w:after="0" w:line="215" w:lineRule="auto"/>
        <w:tabs>
          <w:tab w:leader="none" w:pos="179"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company identified fraudulent ACH disbursements from a company bank account. Additional details regarding this item are discussed in Note 1, “Basis of Presentation and Significant Accounting Policies” in the Notes to Consolidated Financial Statements in Item 8 of Part II of this Report.</w:t>
      </w:r>
    </w:p>
    <w:p>
      <w:pPr>
        <w:sectPr>
          <w:pgSz w:w="12240" w:h="15840" w:orient="portrait"/>
          <w:cols w:equalWidth="0" w:num="1">
            <w:col w:w="10630"/>
          </w:cols>
          <w:pgMar w:left="81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630"/>
          </w:cols>
          <w:pgMar w:left="810" w:top="220" w:right="800" w:bottom="0" w:gutter="0" w:footer="0" w:header="0"/>
          <w:type w:val="continuous"/>
        </w:sectPr>
      </w:pPr>
    </w:p>
    <w:bookmarkStart w:id="42" w:name="page43"/>
    <w:bookmarkEnd w:id="42"/>
    <w:p>
      <w:pPr>
        <w:ind w:left="19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ind w:left="10" w:hanging="10"/>
        <w:spacing w:after="0" w:line="233" w:lineRule="auto"/>
        <w:tabs>
          <w:tab w:leader="none" w:pos="184"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expenses to respond to, remediate and investigate the April 13, 2023 cyber ransomware incident, net of insurance recoveries, which is considered a nonrecurring special item. Additional details regarding this cyber ransomware incident are discussed in Note 1, “Basis of Presentation and Significant Accounting Policies” in the Notes to Consolidated Financial Statements in Item 8 of Part II of this Report.</w:t>
      </w:r>
    </w:p>
    <w:p>
      <w:pPr>
        <w:ind w:left="10" w:hanging="10"/>
        <w:spacing w:after="0" w:line="228" w:lineRule="auto"/>
        <w:tabs>
          <w:tab w:leader="none" w:pos="159"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professional fees related to strategic initiatives which are considered non-operational in nature, as well as certain costs incurred related to the Hardware Business transition.</w:t>
      </w:r>
    </w:p>
    <w:p>
      <w:pPr>
        <w:spacing w:after="0" w:line="1" w:lineRule="exact"/>
        <w:rPr>
          <w:rFonts w:ascii="Times New Roman" w:cs="Times New Roman" w:eastAsia="Times New Roman" w:hAnsi="Times New Roman"/>
          <w:sz w:val="20"/>
          <w:szCs w:val="20"/>
          <w:color w:val="auto"/>
          <w:vertAlign w:val="superscript"/>
        </w:rPr>
      </w:pPr>
    </w:p>
    <w:p>
      <w:pPr>
        <w:ind w:left="10" w:right="20" w:hanging="10"/>
        <w:spacing w:after="0" w:line="216" w:lineRule="auto"/>
        <w:tabs>
          <w:tab w:leader="none" w:pos="183"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costs related to a certain litigation matter, net of expected indemnity recoveries from NCR Atleos, as discussed in Note 11, “Commitments and Contingencies” in the Notes to Consolidated Financial Statements in Item 8 of Part II of this Report.</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Performance Metrics</w:t>
      </w:r>
    </w:p>
    <w:p>
      <w:pPr>
        <w:spacing w:after="0" w:line="255" w:lineRule="exact"/>
        <w:rPr>
          <w:sz w:val="20"/>
          <w:szCs w:val="20"/>
          <w:color w:val="auto"/>
        </w:rPr>
      </w:pPr>
    </w:p>
    <w:p>
      <w:pPr>
        <w:jc w:val="both"/>
        <w:ind w:left="10" w:right="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Adjusted free cash flow-unrestricted </w:t>
      </w:r>
      <w:r>
        <w:rPr>
          <w:rFonts w:ascii="Times New Roman" w:cs="Times New Roman" w:eastAsia="Times New Roman" w:hAnsi="Times New Roman"/>
          <w:sz w:val="20"/>
          <w:szCs w:val="20"/>
          <w:color w:val="auto"/>
        </w:rPr>
        <w:t>NCR Voyix management uses the non-GAAP measure called “adjusted free cash flow-unrestricted” to assess the financial performance of the Company. We define adjusted free cash flow-unrestricted as net cash provided by (used in) operating activities less capital expenditures for property, plant and equipment and capitalized software, plus/ minus collections of previously sold trade receivables purchased from third parties, restricted cash settlement activity, cash activity related to acceleration projects, cash taxes paid for the Digital Banking Sale, cash activity related to environmental discontinued operations plus acquisition-related items, and pension contributions and settlements.</w:t>
      </w:r>
    </w:p>
    <w:p>
      <w:pPr>
        <w:spacing w:after="0" w:line="206"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We believe adjusted free cash flow-unrestricted information is useful for investors because it relates the operating cash flows from the Company’s operations to the capital that is spent to continue and improve business operations. In particular, adjusted free cash flow-unrestricted indicates the amount of cash available after capital expenditures for, among other things, investments in the Company’s existing businesses, strategic acquisitions and repayment of debt obligations. Adjusted free cash flow does not represent the residual cash flow available for discretionary expenditures, since there may be other non-discretionary expenditures that are not deducted from the measure. Adjusted free cash flow-unrestricted does not have a uniform definition under GAAP, and therefore the Company’s definition may differ from other companies’ definitions of this measure. These non-GAAP measures should not be considered a substitute for, or superior to, cash flows from operating activities under GAAP.</w:t>
      </w:r>
    </w:p>
    <w:p>
      <w:pPr>
        <w:spacing w:after="0" w:line="213"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Refer to the section titled “Financial Condition, Liquidity and Capital Resources” in Part I, Item 7 of this Form 10-K for additional information.</w:t>
      </w:r>
    </w:p>
    <w:p>
      <w:pPr>
        <w:spacing w:after="0" w:line="178"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Annualized Recurring Revenue (“ARR”) </w:t>
      </w:r>
      <w:r>
        <w:rPr>
          <w:rFonts w:ascii="Times New Roman" w:cs="Times New Roman" w:eastAsia="Times New Roman" w:hAnsi="Times New Roman"/>
          <w:sz w:val="20"/>
          <w:szCs w:val="20"/>
          <w:color w:val="auto"/>
        </w:rPr>
        <w:t>ARR is calculated using recurring revenue, excluding software licenses sold 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subscription, for the last three months times four, plus the rolling four quarters for term-based software license arrangements that include customer termination rights. The Company believes this metric may be useful to investors in evaluating the achievement of strategic goals related to the conversion of the retail and restaurant businesses to recurring revenue streams over time. ARR is an operating metric and does not necessarily reflect the pattern of revenue recognition in accordance with GAAP and should not be considered a substitute for GAAP revenue. ARR does not have a uniform definition and, therefore, the Company’s definitions may differ from other companies’ definitions of this measure.</w:t>
      </w:r>
    </w:p>
    <w:p>
      <w:pPr>
        <w:spacing w:after="0" w:line="34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 v 2024</w:t>
            </w:r>
          </w:p>
        </w:tc>
      </w:tr>
      <w:tr>
        <w:trPr>
          <w:trHeight w:val="277"/>
        </w:trPr>
        <w:tc>
          <w:tcPr>
            <w:tcW w:w="7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Retail</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Annualized recurring 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20"/>
                <w:szCs w:val="20"/>
                <w:b w:val="1"/>
                <w:bCs w:val="1"/>
                <w:color w:val="auto"/>
              </w:rPr>
              <w:t>1,119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1,078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4 %</w:t>
            </w:r>
          </w:p>
        </w:tc>
      </w:tr>
      <w:tr>
        <w:trPr>
          <w:trHeight w:val="336"/>
        </w:trPr>
        <w:tc>
          <w:tcPr>
            <w:tcW w:w="7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Restaurants</w:t>
            </w:r>
            <w:r>
              <w:rPr>
                <w:rFonts w:ascii="Times New Roman" w:cs="Times New Roman" w:eastAsia="Times New Roman" w:hAnsi="Times New Roman"/>
                <w:sz w:val="26"/>
                <w:szCs w:val="26"/>
                <w:b w:val="1"/>
                <w:bCs w:val="1"/>
                <w:color w:val="auto"/>
                <w:vertAlign w:val="superscript"/>
              </w:rPr>
              <w:t>(1)</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4"/>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Annualized recurring revenue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20"/>
                <w:szCs w:val="20"/>
                <w:b w:val="1"/>
                <w:bCs w:val="1"/>
                <w:color w:val="auto"/>
              </w:rPr>
              <w:t>559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562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-765810</wp:posOffset>
            </wp:positionV>
            <wp:extent cx="6731000" cy="787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6731000" cy="787400"/>
                    </a:xfrm>
                    <a:prstGeom prst="rect">
                      <a:avLst/>
                    </a:prstGeom>
                    <a:noFill/>
                  </pic:spPr>
                </pic:pic>
              </a:graphicData>
            </a:graphic>
          </wp:anchor>
        </w:drawing>
      </w:r>
    </w:p>
    <w:p>
      <w:pPr>
        <w:spacing w:after="0" w:line="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Annualized recurring revenue for 2024 includes a $6 million impact to revenue related to a divested non-strategic business.</w:t>
      </w:r>
    </w:p>
    <w:p>
      <w:pPr>
        <w:sectPr>
          <w:pgSz w:w="12240" w:h="15840" w:orient="portrait"/>
          <w:cols w:equalWidth="0" w:num="1">
            <w:col w:w="10630"/>
          </w:cols>
          <w:pgMar w:left="81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630"/>
          </w:cols>
          <w:pgMar w:left="810" w:top="220" w:right="800" w:bottom="0" w:gutter="0" w:footer="0" w:header="0"/>
          <w:type w:val="continuous"/>
        </w:sectPr>
      </w:pPr>
    </w:p>
    <w:bookmarkStart w:id="43" w:name="page44"/>
    <w:bookmarkEnd w:id="43"/>
    <w:p>
      <w:pPr>
        <w:ind w:left="19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Consolidated Results</w:t>
      </w:r>
    </w:p>
    <w:p>
      <w:pPr>
        <w:spacing w:after="0" w:line="257"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The following table shows our results for the years December 31, 2025, 2024 and 2023, the relative percentage that those amounts represent to revenue, and the change in those amounts year-over-year.</w:t>
      </w:r>
    </w:p>
    <w:p>
      <w:pPr>
        <w:spacing w:after="0" w:line="258"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tcBorders>
              <w:bottom w:val="single" w:sz="8" w:color="auto"/>
            </w:tcBorders>
            <w:gridSpan w:val="5"/>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Percentage of Revenue</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8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1,163</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30.8 %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36.7 %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30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Service revenue</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1,913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2,003</w:t>
            </w:r>
          </w:p>
        </w:tc>
        <w:tc>
          <w:tcPr>
            <w:tcW w:w="6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71.2 %</w:t>
            </w:r>
          </w:p>
        </w:tc>
        <w:tc>
          <w:tcPr>
            <w:tcW w:w="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80"/>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2,687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3,166</w:t>
            </w:r>
          </w:p>
        </w:tc>
        <w:tc>
          <w:tcPr>
            <w:tcW w:w="6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100.0 %   100.0 %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Product gross margin</w:t>
            </w: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88</w:t>
            </w: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117</w:t>
            </w:r>
          </w:p>
        </w:tc>
        <w:tc>
          <w:tcPr>
            <w:tcW w:w="6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11.4 %</w:t>
            </w:r>
          </w:p>
        </w:tc>
        <w:tc>
          <w:tcPr>
            <w:tcW w:w="6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11.5 %</w:t>
            </w:r>
          </w:p>
        </w:tc>
        <w:tc>
          <w:tcPr>
            <w:tcW w:w="6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10.1 %</w:t>
            </w:r>
          </w:p>
        </w:tc>
        <w:tc>
          <w:tcPr>
            <w:tcW w:w="6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30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Service gross margin</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546</w:t>
            </w:r>
          </w:p>
        </w:tc>
        <w:tc>
          <w:tcPr>
            <w:tcW w:w="6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28.5 %</w:t>
            </w:r>
          </w:p>
        </w:tc>
        <w:tc>
          <w:tcPr>
            <w:tcW w:w="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77"/>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gross margin</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634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663</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27"/>
        </w:trPr>
        <w:tc>
          <w:tcPr>
            <w:tcW w:w="26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Selling, general and</w:t>
            </w:r>
          </w:p>
        </w:tc>
        <w:tc>
          <w:tcPr>
            <w:tcW w:w="2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 expenses</w:t>
            </w:r>
          </w:p>
        </w:tc>
        <w:tc>
          <w:tcPr>
            <w:tcW w:w="2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658</w:t>
            </w:r>
          </w:p>
        </w:tc>
        <w:tc>
          <w:tcPr>
            <w:tcW w:w="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30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5.8 %</w:t>
            </w:r>
          </w:p>
        </w:tc>
        <w:tc>
          <w:tcPr>
            <w:tcW w:w="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(loss) from operations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-1869440</wp:posOffset>
            </wp:positionV>
            <wp:extent cx="6819900" cy="1889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6819900" cy="1889125"/>
                    </a:xfrm>
                    <a:prstGeom prst="rect">
                      <a:avLst/>
                    </a:prstGeom>
                    <a:noFill/>
                  </pic:spPr>
                </pic:pic>
              </a:graphicData>
            </a:graphic>
          </wp:anchor>
        </w:drawing>
      </w:r>
    </w:p>
    <w:p>
      <w:pPr>
        <w:spacing w:after="0" w:line="6" w:lineRule="exact"/>
        <w:rPr>
          <w:sz w:val="20"/>
          <w:szCs w:val="20"/>
          <w:color w:val="auto"/>
        </w:rPr>
      </w:pPr>
    </w:p>
    <w:p>
      <w:pPr>
        <w:ind w:left="10" w:right="60" w:hanging="10"/>
        <w:spacing w:after="0" w:line="228" w:lineRule="auto"/>
        <w:tabs>
          <w:tab w:leader="none" w:pos="152"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percentage of revenue is calculated for each line item divided by total revenue, except for product gross margin, service gross margin and total gross margin, which are divided by the related component of revenue.</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347"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Percentage of Total Revenue</w:t>
            </w:r>
          </w:p>
        </w:tc>
        <w:tc>
          <w:tcPr>
            <w:tcW w:w="60" w:type="dxa"/>
            <w:vAlign w:val="bottom"/>
          </w:tcPr>
          <w:p>
            <w:pPr>
              <w:spacing w:after="0"/>
              <w:rPr>
                <w:sz w:val="18"/>
                <w:szCs w:val="18"/>
                <w:color w:val="auto"/>
              </w:rPr>
            </w:pPr>
          </w:p>
        </w:tc>
        <w:tc>
          <w:tcPr>
            <w:tcW w:w="20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35"/>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 v 2023</w:t>
            </w:r>
          </w:p>
        </w:tc>
      </w:tr>
      <w:tr>
        <w:trPr>
          <w:trHeight w:val="277"/>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1,163</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30.8 %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36.7 %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0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Service revenue</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1,913</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2,003</w:t>
            </w:r>
          </w:p>
        </w:tc>
        <w:tc>
          <w:tcPr>
            <w:tcW w:w="6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71.2 %</w:t>
            </w:r>
          </w:p>
        </w:tc>
        <w:tc>
          <w:tcPr>
            <w:tcW w:w="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63.3 %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2,687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3,166</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0"/>
        </w:trPr>
        <w:tc>
          <w:tcPr>
            <w:tcW w:w="2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819900" cy="622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6819900" cy="622300"/>
                    </a:xfrm>
                    <a:prstGeom prst="rect">
                      <a:avLst/>
                    </a:prstGeom>
                    <a:noFill/>
                  </pic:spPr>
                </pic:pic>
              </a:graphicData>
            </a:graphic>
          </wp:anchor>
        </w:drawing>
      </w:r>
    </w:p>
    <w:p>
      <w:pPr>
        <w:spacing w:after="0" w:line="228" w:lineRule="exact"/>
        <w:rPr>
          <w:sz w:val="20"/>
          <w:szCs w:val="20"/>
          <w:color w:val="auto"/>
        </w:rPr>
      </w:pPr>
    </w:p>
    <w:p>
      <w:pPr>
        <w:jc w:val="both"/>
        <w:ind w:left="10" w:right="80"/>
        <w:spacing w:after="0" w:line="281" w:lineRule="auto"/>
        <w:rPr>
          <w:sz w:val="20"/>
          <w:szCs w:val="20"/>
          <w:color w:val="auto"/>
        </w:rPr>
      </w:pPr>
      <w:r>
        <w:rPr>
          <w:rFonts w:ascii="Times New Roman" w:cs="Times New Roman" w:eastAsia="Times New Roman" w:hAnsi="Times New Roman"/>
          <w:sz w:val="20"/>
          <w:szCs w:val="20"/>
          <w:color w:val="auto"/>
        </w:rPr>
        <w:t>Product revenue includes our hardware and software license revenue streams. Service revenue includes SaaS solutions, software maintenance, professional services, installation services, payment processing and hardware maintenance.</w:t>
      </w:r>
    </w:p>
    <w:p>
      <w:pPr>
        <w:spacing w:after="0" w:line="181" w:lineRule="exact"/>
        <w:rPr>
          <w:sz w:val="20"/>
          <w:szCs w:val="20"/>
          <w:color w:val="auto"/>
        </w:rPr>
      </w:pPr>
    </w:p>
    <w:p>
      <w:pPr>
        <w:jc w:val="both"/>
        <w:ind w:left="10" w:right="60"/>
        <w:spacing w:after="0" w:line="258" w:lineRule="auto"/>
        <w:rPr>
          <w:sz w:val="20"/>
          <w:szCs w:val="20"/>
          <w:color w:val="auto"/>
        </w:rPr>
      </w:pPr>
      <w:r>
        <w:rPr>
          <w:rFonts w:ascii="Times New Roman" w:cs="Times New Roman" w:eastAsia="Times New Roman" w:hAnsi="Times New Roman"/>
          <w:sz w:val="20"/>
          <w:szCs w:val="20"/>
          <w:color w:val="auto"/>
        </w:rPr>
        <w:t>Total revenue decreased 5% for the year ended December 31, 2025 compared to the year ended December 31, 2024. Product revenue decreased 11% due to a decline in hardware revenues, as well as a decrease in software license revenue for one-time revenue recognized in 2024. Service revenue decreased 2% due to a decrease in one-time installation services revenue, professional services revenue and SaaS solutions revenue, offset by an increase in payment processing revenue and hardware maintenance revenue as compared to the prior year.</w:t>
      </w:r>
    </w:p>
    <w:p>
      <w:pPr>
        <w:spacing w:after="0" w:line="204" w:lineRule="exact"/>
        <w:rPr>
          <w:sz w:val="20"/>
          <w:szCs w:val="20"/>
          <w:color w:val="auto"/>
        </w:rPr>
      </w:pPr>
    </w:p>
    <w:p>
      <w:pPr>
        <w:jc w:val="both"/>
        <w:ind w:left="10" w:right="80"/>
        <w:spacing w:after="0" w:line="256" w:lineRule="auto"/>
        <w:rPr>
          <w:sz w:val="20"/>
          <w:szCs w:val="20"/>
          <w:color w:val="auto"/>
        </w:rPr>
      </w:pPr>
      <w:r>
        <w:rPr>
          <w:rFonts w:ascii="Times New Roman" w:cs="Times New Roman" w:eastAsia="Times New Roman" w:hAnsi="Times New Roman"/>
          <w:sz w:val="20"/>
          <w:szCs w:val="20"/>
          <w:color w:val="auto"/>
        </w:rPr>
        <w:t>Total revenue decreased 11% for the year ended December 31, 2024 compared to the year ended December 31, 2023. Product revenue decreased 25% due to a decline in hardware revenues, as well as a decrease in software license revenue for one-time revenue recognized in 2023. Service revenue decreased 3% comparing the year ended 2024 to 2023 due to a decrease in payment processing service revenue due to the divestiture at the end of 2023. The decline in service revenue was also related to revenue from non-recurring installation services in 2023, slightly offset by an increase in hardware maintenance and professional services revenue.</w:t>
      </w: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Gross Margin</w:t>
      </w:r>
    </w:p>
    <w:p>
      <w:pPr>
        <w:spacing w:after="0" w:line="33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Percentage of Revenue</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35"/>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 v 2023</w:t>
            </w:r>
          </w:p>
        </w:tc>
      </w:tr>
      <w:tr>
        <w:trPr>
          <w:trHeight w:val="277"/>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Product gross margin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117</w:t>
            </w:r>
          </w:p>
        </w:tc>
        <w:tc>
          <w:tcPr>
            <w:tcW w:w="60" w:type="dxa"/>
            <w:vAlign w:val="bottom"/>
          </w:tcPr>
          <w:p>
            <w:pPr>
              <w:spacing w:after="0"/>
              <w:rPr>
                <w:sz w:val="24"/>
                <w:szCs w:val="24"/>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11.4 %</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11.5 %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03"/>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Service gross margin</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546</w:t>
            </w:r>
          </w:p>
        </w:tc>
        <w:tc>
          <w:tcPr>
            <w:tcW w:w="60" w:type="dxa"/>
            <w:vAlign w:val="bottom"/>
          </w:tcPr>
          <w:p>
            <w:pPr>
              <w:spacing w:after="0"/>
              <w:rPr>
                <w:sz w:val="24"/>
                <w:szCs w:val="24"/>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28.5 %</w:t>
            </w:r>
          </w:p>
        </w:tc>
        <w:tc>
          <w:tcPr>
            <w:tcW w:w="60" w:type="dxa"/>
            <w:vAlign w:val="bottom"/>
          </w:tcPr>
          <w:p>
            <w:pPr>
              <w:spacing w:after="0"/>
              <w:rPr>
                <w:sz w:val="24"/>
                <w:szCs w:val="24"/>
                <w:color w:val="auto"/>
              </w:rPr>
            </w:pP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0"/>
                <w:szCs w:val="20"/>
                <w:color w:val="auto"/>
              </w:rPr>
              <w:t>24.4 %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60"/>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gross margin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634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663</w:t>
            </w:r>
          </w:p>
        </w:tc>
        <w:tc>
          <w:tcPr>
            <w:tcW w:w="60" w:type="dxa"/>
            <w:vAlign w:val="bottom"/>
          </w:tcPr>
          <w:p>
            <w:pPr>
              <w:spacing w:after="0"/>
              <w:rPr>
                <w:sz w:val="22"/>
                <w:szCs w:val="2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23.6 %</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20.5 %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0"/>
        </w:trPr>
        <w:tc>
          <w:tcPr>
            <w:tcW w:w="2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819900" cy="622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6819900" cy="622300"/>
                    </a:xfrm>
                    <a:prstGeom prst="rect">
                      <a:avLst/>
                    </a:prstGeom>
                    <a:noFill/>
                  </pic:spPr>
                </pic:pic>
              </a:graphicData>
            </a:graphic>
          </wp:anchor>
        </w:drawing>
      </w:r>
    </w:p>
    <w:p>
      <w:pPr>
        <w:spacing w:after="0" w:line="5" w:lineRule="exact"/>
        <w:rPr>
          <w:sz w:val="20"/>
          <w:szCs w:val="20"/>
          <w:color w:val="auto"/>
        </w:rPr>
      </w:pPr>
    </w:p>
    <w:p>
      <w:pPr>
        <w:ind w:left="130" w:hanging="130"/>
        <w:spacing w:after="0"/>
        <w:tabs>
          <w:tab w:leader="none" w:pos="130"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percentage of revenue is calculated for each line item divided by the related component of revenue.</w:t>
      </w:r>
    </w:p>
    <w:p>
      <w:pPr>
        <w:sectPr>
          <w:pgSz w:w="12240" w:h="15840" w:orient="portrait"/>
          <w:cols w:equalWidth="0" w:num="1">
            <w:col w:w="10690"/>
          </w:cols>
          <w:pgMar w:left="810" w:top="22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690"/>
          </w:cols>
          <w:pgMar w:left="810" w:top="220" w:right="740" w:bottom="0" w:gutter="0" w:footer="0" w:header="0"/>
          <w:type w:val="continuous"/>
        </w:sectPr>
      </w:pPr>
    </w:p>
    <w:bookmarkStart w:id="44" w:name="page45"/>
    <w:bookmarkEnd w:id="44"/>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20"/>
          <w:szCs w:val="20"/>
          <w:color w:val="auto"/>
        </w:rPr>
        <w:t>Gross margin as a percentage of revenue was 23.6% in 2025 compared to 20.5% in 2024. The overall increase in gross margin as a percentage of revenue was driven by an increase in service gross margin, mainly stemming from improved margins for SaaS solutions, professional services, software maintenance and payment processing revenue compared to the prior year. These improvements in service gross margin were primarily due to the cost reduction initiatives implemented by the Company beginning in 2024, as well as a reduction in transformation and restructuring and strategic initiatives costs as compared to the prior year. Included in gross margin for the year ended December 31, 2025 was $18 million related to transformation and restructuring costs, $6 million of strategic initiative costs, $4 million of stock-based compensation expense and $12 million related to amortization of acquisition-related intangible assets. Gross margin for the year ended December 31, 2024 included $46 million related to transformation and restructuring costs, $20 million of strategic initiative costs, $10 million of stock-based compensation expense and $14 million related to amortization of acquisition-related intangible assets, offset by $5 million of net recoveries related to the cyber ransomware incident.</w:t>
      </w:r>
    </w:p>
    <w:p>
      <w:pPr>
        <w:spacing w:after="0" w:line="213"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Gross margin as a percentage of revenue was 20.5% in 2024 compared to 20.9% in 2023 due to a decline in gross margin related to payment processing revenue from the divestiture at the end of 2023, as well as one-time software license revenue and non-recurring installation service revenue recognized in 2023. Additionally, gross margin for the year ended December 31, 2024 included $46 million related to transformation and restructuring costs, $20 million of strategic initiative costs, $10 million of stock-based compensation expense and $14 million related to amortization of acquisition-related intangible assets, offset by $5 million of net recoveries related to the cyber ransomware incident. Gross margin for the year ended December 31, 2023 included $4 million related to transformation and restructuring costs, $15 million of stock-based compensation expense, $33 million related to amortization of acquisition-related intangible assets, $31 million in separation-related costs and $16 million in cyber ransomware recovery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 Expenses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Percentage of Total Revenue</w:t>
            </w:r>
          </w:p>
        </w:tc>
        <w:tc>
          <w:tcPr>
            <w:tcW w:w="60" w:type="dxa"/>
            <w:vAlign w:val="bottom"/>
          </w:tcPr>
          <w:p>
            <w:pPr>
              <w:spacing w:after="0"/>
              <w:rPr>
                <w:sz w:val="18"/>
                <w:szCs w:val="18"/>
                <w:color w:val="auto"/>
              </w:rPr>
            </w:pPr>
          </w:p>
        </w:tc>
        <w:tc>
          <w:tcPr>
            <w:tcW w:w="20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0" w:type="dxa"/>
            <w:vAlign w:val="bottom"/>
          </w:tcPr>
          <w:p>
            <w:pPr>
              <w:spacing w:after="0"/>
              <w:rPr>
                <w:sz w:val="1"/>
                <w:szCs w:val="1"/>
                <w:color w:val="auto"/>
              </w:rPr>
            </w:pPr>
          </w:p>
        </w:tc>
      </w:tr>
      <w:tr>
        <w:trPr>
          <w:trHeight w:val="204"/>
        </w:trPr>
        <w:tc>
          <w:tcPr>
            <w:tcW w:w="268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Selling, general and</w:t>
            </w:r>
          </w:p>
        </w:tc>
        <w:tc>
          <w:tcPr>
            <w:tcW w:w="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453</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 expenses</w:t>
            </w:r>
          </w:p>
        </w:tc>
        <w:tc>
          <w:tcPr>
            <w:tcW w:w="24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658</w:t>
            </w:r>
          </w:p>
        </w:tc>
        <w:tc>
          <w:tcPr>
            <w:tcW w:w="60" w:type="dxa"/>
            <w:vAlign w:val="bottom"/>
          </w:tcPr>
          <w:p>
            <w:pPr>
              <w:spacing w:after="0"/>
              <w:rPr>
                <w:sz w:val="23"/>
                <w:szCs w:val="23"/>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16.9 %</w:t>
            </w:r>
          </w:p>
        </w:tc>
        <w:tc>
          <w:tcPr>
            <w:tcW w:w="94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16.3 %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20.8 %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-318135</wp:posOffset>
            </wp:positionV>
            <wp:extent cx="6807200" cy="339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6807200" cy="339725"/>
                    </a:xfrm>
                    <a:prstGeom prst="rect">
                      <a:avLst/>
                    </a:prstGeom>
                    <a:noFill/>
                  </pic:spPr>
                </pic:pic>
              </a:graphicData>
            </a:graphic>
          </wp:anchor>
        </w:drawing>
      </w:r>
    </w:p>
    <w:p>
      <w:pPr>
        <w:spacing w:after="0" w:line="271"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20"/>
          <w:szCs w:val="20"/>
          <w:color w:val="auto"/>
        </w:rPr>
        <w:t>Selling, general, and administrative expenses were $453 million in 2025 as compared to $458 million in 2024. As a percentage of revenue, selling, general and administrative expenses were 16.9% in 2025 and 16.3% in 2024. The overall decrease in selling, general and administrative expenses in 2025 is due to the Company’s cost reduction initiative implemented beginning in 2024, as well as the impact of the now terminated transition services agreement related to the Digital Banking Sale. Additionally, in 2025, selling, general and administrative expenses included $96 million of transformation and restructuring costs, $10 million of strategic initiative costs, $25 million of stock-based compensation expense and $13 million of acquisition-related amortization of intangibles. In 2024, selling, general and administrative expenses included $55 million of transformation and restructuring costs, $26 million related to strategic initiative costs, $20 million of stock-based compensation expense, $14 million of acquisition-related amortization of intangibles and $8 million in separation-related costs, offset by $5 million in net recoveries related to the fraudulent ACH matter and $8 million of net recoveries related to the cyber ransomware incident.</w:t>
      </w:r>
    </w:p>
    <w:p>
      <w:pPr>
        <w:spacing w:after="0" w:line="216"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20"/>
          <w:szCs w:val="20"/>
          <w:color w:val="auto"/>
        </w:rPr>
        <w:t>Selling, general, and administrative expenses were $458 million in 2024, compared to $658 million in 2023. As a percentage of revenue, selling, general and administrative expenses were 16.3% in 2024 compared to 20.8% in 2023. In 2024, selling, general and administrative expenses included $55 million of transformation and restructuring costs, $26 million related to strategic initiative costs, $20 million of stock-based compensation expense, $14 million of acquisition-related amortization of intangibles and $8 million in separation-related costs, offset by $5 million in net recoveries related to the fraudulent ACH matter and $8 million of net recoveries related to the cyber ransomware incident. In 2023, selling, general and administrative expenses included $21 million of transformation and restructuring costs, $23 million in fraudulent ACH disbursement costs, $113 million of stock-based compensation expense, $8 million of acquisition-related amortization of intangibles, $1 million of acquisition-related costs, $54 million in separation-related costs and $2 million of costs related to the divestitures of certain non-strategic businesses. Excluding these items, selling, general and administrative expenses decreased from 2023 to 2024 due to cost mitigation actions implemented, including a reduction in employee-related costs.</w:t>
      </w:r>
    </w:p>
    <w:p>
      <w:pPr>
        <w:sectPr>
          <w:pgSz w:w="12240" w:h="15840" w:orient="portrait"/>
          <w:cols w:equalWidth="0" w:num="1">
            <w:col w:w="10680"/>
          </w:cols>
          <w:pgMar w:left="820" w:top="22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680"/>
          </w:cols>
          <w:pgMar w:left="820" w:top="220" w:right="740" w:bottom="0" w:gutter="0" w:footer="0" w:header="0"/>
          <w:type w:val="continuous"/>
        </w:sectPr>
      </w:pPr>
    </w:p>
    <w:bookmarkStart w:id="45" w:name="page46"/>
    <w:bookmarkEnd w:id="45"/>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Percentage of Total Revenue</w:t>
            </w:r>
          </w:p>
        </w:tc>
        <w:tc>
          <w:tcPr>
            <w:tcW w:w="60" w:type="dxa"/>
            <w:vAlign w:val="bottom"/>
          </w:tcPr>
          <w:p>
            <w:pPr>
              <w:spacing w:after="0"/>
              <w:rPr>
                <w:sz w:val="18"/>
                <w:szCs w:val="18"/>
                <w:color w:val="auto"/>
              </w:rPr>
            </w:pPr>
          </w:p>
        </w:tc>
        <w:tc>
          <w:tcPr>
            <w:tcW w:w="20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0" w:type="dxa"/>
            <w:vAlign w:val="bottom"/>
          </w:tcPr>
          <w:p>
            <w:pPr>
              <w:spacing w:after="0"/>
              <w:rPr>
                <w:sz w:val="1"/>
                <w:szCs w:val="1"/>
                <w:color w:val="auto"/>
              </w:rPr>
            </w:pPr>
          </w:p>
        </w:tc>
      </w:tr>
      <w:tr>
        <w:trPr>
          <w:trHeight w:val="235"/>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 v 2023</w:t>
            </w:r>
          </w:p>
        </w:tc>
        <w:tc>
          <w:tcPr>
            <w:tcW w:w="0" w:type="dxa"/>
            <w:vAlign w:val="bottom"/>
          </w:tcPr>
          <w:p>
            <w:pPr>
              <w:spacing w:after="0"/>
              <w:rPr>
                <w:sz w:val="1"/>
                <w:szCs w:val="1"/>
                <w:color w:val="auto"/>
              </w:rPr>
            </w:pPr>
          </w:p>
        </w:tc>
      </w:tr>
      <w:tr>
        <w:trPr>
          <w:trHeight w:val="204"/>
        </w:trPr>
        <w:tc>
          <w:tcPr>
            <w:tcW w:w="268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Research and development</w:t>
            </w:r>
          </w:p>
        </w:tc>
        <w:tc>
          <w:tcPr>
            <w:tcW w:w="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155</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24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5.6 %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4.4 %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-318135</wp:posOffset>
            </wp:positionV>
            <wp:extent cx="6807200" cy="339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6807200" cy="339725"/>
                    </a:xfrm>
                    <a:prstGeom prst="rect">
                      <a:avLst/>
                    </a:prstGeom>
                    <a:noFill/>
                  </pic:spPr>
                </pic:pic>
              </a:graphicData>
            </a:graphic>
          </wp:anchor>
        </w:drawing>
      </w:r>
    </w:p>
    <w:p>
      <w:pPr>
        <w:spacing w:after="0" w:line="27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20"/>
          <w:szCs w:val="20"/>
          <w:color w:val="auto"/>
        </w:rPr>
        <w:t>Research and development expenses were $155 million in 2025, compared to $157 million in 2024. As a percentage of revenue, these costs were 5.8% in 2025 and 5.6% in 2024. The overall decrease in research and development expenses in 2025 is due to the Company’s cost reduction initiative implemented beginning in 2024. Additionally, in 2025, research and development expenses included $13 million of costs related to our transformation and restructuring initiatives and $5 million of stock-based compensation expense. In 2024, research and development expenses included $7 million of transformation and restructuring costs, $10 million of stock-based compensation expense and $3 million of separation-related costs.</w:t>
      </w:r>
    </w:p>
    <w:p>
      <w:pPr>
        <w:spacing w:after="0" w:line="208"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20"/>
          <w:szCs w:val="20"/>
          <w:color w:val="auto"/>
        </w:rPr>
        <w:t>Research and development expenses were $157 million in 2024, compared to $139 million in 2023. As a percentage of revenue, these costs were 5.6% in 2024 compared to 4.4% in 2023. In 2024, research and development expenses included $7 million of transformation and restructuring costs, $10 million of stock-based compensation expense and $3 million of separation-related costs. In 2023, research and development expenses included $3 million of costs related to our transformation and restructuring initiatives, $7 million of separation-related costs, $12 million of stock-based compensation expense and $1 million in cyber ransomware recovery costs. Excluding these items, research and development expenses increased from 2023 to 2024 as the Company continues to invest in research and development activities related to our platform.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Gain (loss) on Extinguishment of Debt</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60" w:type="dxa"/>
            <w:vAlign w:val="bottom"/>
          </w:tcPr>
          <w:p>
            <w:pPr>
              <w:spacing w:after="0"/>
              <w:rPr>
                <w:sz w:val="20"/>
                <w:szCs w:val="20"/>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 v 2023</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Gain (loss) on extinguishment of debt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60" w:type="dxa"/>
            <w:vAlign w:val="bottom"/>
          </w:tcPr>
          <w:p>
            <w:pPr>
              <w:spacing w:after="0"/>
              <w:rPr>
                <w:sz w:val="24"/>
                <w:szCs w:val="24"/>
                <w:color w:val="auto"/>
              </w:rPr>
            </w:pP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6"/>
              </w:rPr>
              <w:t>(100)%</w:t>
            </w:r>
          </w:p>
        </w:tc>
        <w:tc>
          <w:tcPr>
            <w:tcW w:w="60" w:type="dxa"/>
            <w:vAlign w:val="bottom"/>
          </w:tcPr>
          <w:p>
            <w:pPr>
              <w:spacing w:after="0"/>
              <w:rPr>
                <w:sz w:val="24"/>
                <w:szCs w:val="24"/>
                <w:color w:val="auto"/>
              </w:rPr>
            </w:pPr>
          </w:p>
        </w:tc>
        <w:tc>
          <w:tcPr>
            <w:tcW w:w="10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-194310</wp:posOffset>
            </wp:positionV>
            <wp:extent cx="6769100" cy="215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6769100" cy="215900"/>
                    </a:xfrm>
                    <a:prstGeom prst="rect">
                      <a:avLst/>
                    </a:prstGeom>
                    <a:noFill/>
                  </pic:spPr>
                </pic:pic>
              </a:graphicData>
            </a:graphic>
          </wp:anchor>
        </w:drawing>
      </w:r>
    </w:p>
    <w:p>
      <w:pPr>
        <w:spacing w:after="0" w:line="271"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20"/>
          <w:szCs w:val="20"/>
          <w:color w:val="auto"/>
        </w:rPr>
        <w:t>The gain on extinguishment of debt of $8 million in 2024 is related to the redemption discount on the 5.250% senior notes due 2030 and the 5.125% senior notes due 2029 of $18 million, offset by the write-off of the related deferred financing fees of $10 million.</w:t>
      </w:r>
    </w:p>
    <w:p>
      <w:pPr>
        <w:spacing w:after="0" w:line="18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The loss on extinguishment of debt was $46 million in 2023 related to the premium paid for early redemption of $24 million of the 5.750% senior notes due 2027 and the 6.125% senior notes due 2029, as well as the write-off of deferred financing fees of $22 million related to the senior unsecured notes and the senior secured credit facilities.</w:t>
      </w:r>
    </w:p>
    <w:p>
      <w:pPr>
        <w:spacing w:after="0" w:line="195"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20"/>
          <w:szCs w:val="20"/>
          <w:color w:val="auto"/>
        </w:rPr>
        <w:t>Refer to Note 6, “Debt Obligations” of the Notes to Consolidated Financial Statements in Item 8 of Part II of this Report for additional discussion on the financing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35"/>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 v 2023</w:t>
            </w:r>
          </w:p>
        </w:tc>
      </w:tr>
      <w:tr>
        <w:trPr>
          <w:trHeight w:val="277"/>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-194310</wp:posOffset>
            </wp:positionV>
            <wp:extent cx="6769100" cy="215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6769100" cy="215900"/>
                    </a:xfrm>
                    <a:prstGeom prst="rect">
                      <a:avLst/>
                    </a:prstGeom>
                    <a:noFill/>
                  </pic:spPr>
                </pic:pic>
              </a:graphicData>
            </a:graphic>
          </wp:anchor>
        </w:drawing>
      </w:r>
    </w:p>
    <w:p>
      <w:pPr>
        <w:spacing w:after="0" w:line="2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Interest expense was $60 million in 2025 compared to $134 million in 2024 and $294 million in 2023. Interest expense is primarily related to our senior unsecured notes and borrowings under the senior secured credit facilities. The decrease in interest expense each year was due to the decrease in total debt outstanding.</w:t>
      </w:r>
    </w:p>
    <w:p>
      <w:pPr>
        <w:sectPr>
          <w:pgSz w:w="12240" w:h="15840" w:orient="portrait"/>
          <w:cols w:equalWidth="0" w:num="1">
            <w:col w:w="10680"/>
          </w:cols>
          <w:pgMar w:left="820" w:top="220"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680"/>
          </w:cols>
          <w:pgMar w:left="820" w:top="220" w:right="740" w:bottom="0" w:gutter="0" w:footer="0" w:header="0"/>
          <w:type w:val="continuous"/>
        </w:sectPr>
      </w:pPr>
    </w:p>
    <w:bookmarkStart w:id="46" w:name="page47"/>
    <w:bookmarkEnd w:id="46"/>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Other income (expense), net was income of $3 million in 2025, expense of $33 million in 2024 and expense of $75 million in 2023, with the components reflected in the following table:</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4"/>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fluctuations and foreign exchange contracts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8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Bank-related fees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Employee benefit plans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6"/>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45"/>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0"/>
        </w:trPr>
        <w:tc>
          <w:tcPr>
            <w:tcW w:w="6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-1116965</wp:posOffset>
            </wp:positionV>
            <wp:extent cx="6772275" cy="1136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6772275" cy="1136650"/>
                    </a:xfrm>
                    <a:prstGeom prst="rect">
                      <a:avLst/>
                    </a:prstGeom>
                    <a:noFill/>
                  </pic:spPr>
                </pic:pic>
              </a:graphicData>
            </a:graphic>
          </wp:anchor>
        </w:drawing>
      </w:r>
    </w:p>
    <w:p>
      <w:pPr>
        <w:spacing w:after="0" w:line="2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Foreign currency fluctuations and foreign exchange contracts within Other income (expense), net, includes a net loss of $15 million due to the impact of changes in the Lebanese pound and the Egyptian pound during 2024. As of March 31, 2024, the operations of Lebanon and Egypt have transferred to NCR Atleos; however, the Company retained certain assets and liabilities under the separation and disclosure agreement which were impacted by the changes in foreign currency fluctuations.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2025, the Company incurred bank-related fees of $4 million compared to $24 million and $28 million in 2024 and 2023, respectively. The decrease in bank-related fees from 2023 to 2024 and 2024 to 2025 is related to the termination of the trade receivables facility during the third quarter of 2024.</w:t>
      </w:r>
    </w:p>
    <w:p>
      <w:pPr>
        <w:spacing w:after="0" w:line="19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Employee benefit plans within other income (expense) net includes the components of pension, postemployment expense, other than service cost, as well as actuarial gains and losses from the annual pension mark-to-market adjustment. In 2025, there was an actuarial gain of $13 million compared to an actuarial gain of $12 million in 2024. The net actuarial gains in 2025 and 2024 were primarily due to plan experience gains as well as increases in discount rates and favorable returns on plan assets. The actuarial loss in 2023 was $7 million primarily due to plan experience losses as well as a decrease in discount rates, partially offset by favorable returns on plan asset.</w:t>
      </w:r>
    </w:p>
    <w:p>
      <w:pPr>
        <w:spacing w:after="0" w:line="23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Included in Other, net for 2025 are expenses of $22 million for a certain litigation matter, net of expected indemnity recovery from NCR Atleos. Refer to Note 11, “Commitments and Contingencies” of the Notes to Consolidated Financial Statements for additional information. Additionally, included within Other, net for 2025 is a $10 million gain on the sale of property, plant and equipment and a $3 million gain on the sale of a non-strategic business during the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2023, Other, net includes a $9 million loss recognized on the divestitures of certain non-strategic businesses.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189865</wp:posOffset>
            </wp:positionV>
            <wp:extent cx="6769100" cy="539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6769100" cy="539750"/>
                    </a:xfrm>
                    <a:prstGeom prst="rect">
                      <a:avLst/>
                    </a:prstGeom>
                    <a:noFill/>
                  </pic:spPr>
                </pic:pic>
              </a:graphicData>
            </a:graphic>
          </wp:anchor>
        </w:drawing>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35"/>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 v 2023</w:t>
            </w:r>
          </w:p>
        </w:tc>
      </w:tr>
      <w:tr>
        <w:trPr>
          <w:trHeight w:val="277"/>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60" w:type="dxa"/>
            <w:vAlign w:val="bottom"/>
          </w:tcPr>
          <w:p>
            <w:pPr>
              <w:spacing w:after="0"/>
              <w:rPr>
                <w:sz w:val="24"/>
                <w:szCs w:val="24"/>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n/m</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r>
    </w:tbl>
    <w:p>
      <w:pPr>
        <w:spacing w:after="0" w:line="29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effective tax rate was 235% in 2025, (2)% in 2024, and (34)% in 2023. During 2025, our tax rate was impacted by a $66 million benefit due to entity restructuring activities. During 2024, our tax rate was impacted by a $57 million expense from recording a valuation allowance against deferred tax assets. During 2023, our tax rate was impacted by a net $226 million expense related to the Spin-Off of NCR Atleos. Also during 2023, our tax rate was impacted by a $31 million expense from recording a valuation allowance against deferred tax assets and a $17 million expense from nondeductible executive compensation.</w:t>
      </w:r>
    </w:p>
    <w:p>
      <w:pPr>
        <w:spacing w:after="0" w:line="2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While we are subject to numerous federal, state and foreign tax audits, we believe that appropriate reserves exist for issues that might arise from these audits. Should these audits be settled, the resulting tax effect could impact the tax provision and cash flows in future periods. During 2026, the Company expects to resolve certain tax matters related to U.S. and foreign jurisdictions. These resolutions could have a material impact on the effective tax rate in 2026.</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regularly review our deferred tax assets for recoverability and establish a valuation allowance if it is more likely than not that some portion or all of a deferred tax asset will not be realized. The determination as to whether a deferred tax asset will be realized is made on a jurisdictional basis and is based on the evaluation of positive and negative evidence. This evidence includes historical</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620"/>
          </w:cols>
          <w:pgMar w:left="820" w:top="220" w:right="800" w:bottom="0" w:gutter="0" w:footer="0" w:header="0"/>
          <w:type w:val="continuous"/>
        </w:sectPr>
      </w:pPr>
    </w:p>
    <w:bookmarkStart w:id="47" w:name="page48"/>
    <w:bookmarkEnd w:id="47"/>
    <w:p>
      <w:pPr>
        <w:ind w:left="19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taxable income/loss, projected future taxable income, the expected timing of the reversal of existing temporary differences and the implementation of tax planning strategies.</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Income (Loss) from Discontinued Operations, net of tax</w:t>
      </w:r>
    </w:p>
    <w:p>
      <w:pPr>
        <w:spacing w:after="0" w:line="347"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35"/>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 v 2023</w:t>
            </w:r>
          </w:p>
        </w:tc>
      </w:tr>
      <w:tr>
        <w:trPr>
          <w:trHeight w:val="277"/>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discontinued operations, net of tax</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1,158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6769100" cy="215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6769100" cy="215900"/>
                    </a:xfrm>
                    <a:prstGeom prst="rect">
                      <a:avLst/>
                    </a:prstGeom>
                    <a:noFill/>
                  </pic:spPr>
                </pic:pic>
              </a:graphicData>
            </a:graphic>
          </wp:anchor>
        </w:drawing>
      </w:r>
    </w:p>
    <w:p>
      <w:pPr>
        <w:spacing w:after="0" w:line="271"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In 2025, the income from discontinued operations was $20 million, net of tax, of which $6 million related to income from discontinued operations, net of tax, for the Digital Banking Sale, $6 million income from discontinued operations, net of tax related to NCR Atleos and income from discontinued operations, net of tax, of $8 million related to the Company’s environmental remediation matters.</w:t>
      </w:r>
    </w:p>
    <w:p>
      <w:pPr>
        <w:spacing w:after="0" w:line="203"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In 2024, the income from discontinued operations was $1,158 million, net of tax, of which $1,178 million related to income from discontinued operations, net of tax, for the Digital Banking Sale, $10 million related to a loss from discontinued operations, net of tax, related to NCR Atleos and a loss from discontinued operations, net of tax, of $10 million related to the Company’s environmental remediation matters.</w:t>
      </w:r>
    </w:p>
    <w:p>
      <w:pPr>
        <w:spacing w:after="0" w:line="203"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In 2023, the income from discontinued operations was $305 million, net of tax, of which $115 million related to income from discontinued operations, net of tax, for the Digital Banking Sale, $240 million related to income from discontinued operations, net of tax, related to NCR Atleos and a loss from discontinued operations, net of tax, of $50 million related to the Company’s environmental remediation matters.</w:t>
      </w:r>
    </w:p>
    <w:p>
      <w:pPr>
        <w:spacing w:after="0" w:line="203"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Refer to Note 2, “Discontinued Operations” of the Notes to Consolidated Financial Statements in Item 8 of Part II of this Report for additional information.</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Revenue and Adjusted EBITDA by Segment</w:t>
      </w:r>
    </w:p>
    <w:p>
      <w:pPr>
        <w:spacing w:after="0" w:line="257"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 manages and reports its businesses in the following segments: Retail and Restaurants. Segments are measured for profitability by the Company’s chief operating decision maker based on revenue and segment Adjusted EBITDA. Refer to the section above entitled “Non-GAAP Financial Measures and Use of Certain Terms” for our definition of Adjusted EBITDA and the reconciliation of net income (loss) from continuing operations attributable to NCR Voyix (GAAP) to Adjusted EBITDA (non-GAAP).</w:t>
      </w:r>
    </w:p>
    <w:p>
      <w:pPr>
        <w:spacing w:after="0" w:line="204"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Corporate and Other includes income and expenses related to corporate functions that are not specifically attributable to any of our two individual reportable segments along with certain non-strategic businesses that are considered immaterial operating segment(s) and commercial agreements with NCR Atleos.</w:t>
      </w:r>
    </w:p>
    <w:p>
      <w:pPr>
        <w:spacing w:after="0" w:line="195"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following table shows our segment revenue and Adjusted EBITDA for the years ended December 31, the relative percentage that those amounts represent to revenue and the change in those amounts year-over-year.</w:t>
      </w:r>
    </w:p>
    <w:p>
      <w:pPr>
        <w:spacing w:after="0" w:line="258"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Percentage of Revenue</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9"/>
                <w:szCs w:val="19"/>
                <w:color w:val="auto"/>
              </w:rPr>
            </w:pPr>
          </w:p>
        </w:tc>
        <w:tc>
          <w:tcPr>
            <w:tcW w:w="2000" w:type="dxa"/>
            <w:vAlign w:val="bottom"/>
            <w:tcBorders>
              <w:bottom w:val="single" w:sz="8" w:color="auto"/>
            </w:tcBorders>
            <w:gridSpan w:val="3"/>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Increase (Decrease)</w:t>
            </w:r>
          </w:p>
        </w:tc>
      </w:tr>
      <w:tr>
        <w:trPr>
          <w:trHeight w:val="235"/>
        </w:trPr>
        <w:tc>
          <w:tcPr>
            <w:tcW w:w="2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20"/>
                <w:szCs w:val="20"/>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84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 v 2024</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 v 2023</w:t>
            </w:r>
          </w:p>
        </w:tc>
      </w:tr>
      <w:tr>
        <w:trPr>
          <w:trHeight w:val="277"/>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300"/>
        </w:trPr>
        <w:tc>
          <w:tcPr>
            <w:tcW w:w="2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Retail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1,842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2,177</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69.4 %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68.8 %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303"/>
        </w:trPr>
        <w:tc>
          <w:tcPr>
            <w:tcW w:w="2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Restaurants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818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1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30.4 %</w:t>
            </w:r>
          </w:p>
        </w:tc>
        <w:tc>
          <w:tcPr>
            <w:tcW w:w="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0"/>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Segment Revenue</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2,660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3,063</w:t>
            </w:r>
          </w:p>
        </w:tc>
        <w:tc>
          <w:tcPr>
            <w:tcW w:w="1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99.0 %</w:t>
            </w:r>
          </w:p>
        </w:tc>
        <w:tc>
          <w:tcPr>
            <w:tcW w:w="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98.7 %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0"/>
        </w:trPr>
        <w:tc>
          <w:tcPr>
            <w:tcW w:w="2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1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1.0 %</w:t>
            </w:r>
          </w:p>
        </w:tc>
        <w:tc>
          <w:tcPr>
            <w:tcW w:w="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3.2 %</w:t>
            </w:r>
          </w:p>
        </w:tc>
        <w:tc>
          <w:tcPr>
            <w:tcW w:w="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80"/>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2,687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3,166</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577"/>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Adjusted EBITDA by segment</w:t>
            </w: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300"/>
        </w:trPr>
        <w:tc>
          <w:tcPr>
            <w:tcW w:w="2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Retail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19.6 %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00"/>
        </w:trPr>
        <w:tc>
          <w:tcPr>
            <w:tcW w:w="2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Restaurants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30.4 %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22.2 %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-1908810</wp:posOffset>
            </wp:positionV>
            <wp:extent cx="6769100" cy="1930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6769100" cy="1930400"/>
                    </a:xfrm>
                    <a:prstGeom prst="rect">
                      <a:avLst/>
                    </a:prstGeom>
                    <a:noFill/>
                  </pic:spPr>
                </pic:pic>
              </a:graphicData>
            </a:graphic>
          </wp:anchor>
        </w:drawing>
      </w:r>
    </w:p>
    <w:p>
      <w:pPr>
        <w:spacing w:after="0" w:line="25" w:lineRule="exact"/>
        <w:rPr>
          <w:sz w:val="20"/>
          <w:szCs w:val="20"/>
          <w:color w:val="auto"/>
        </w:rPr>
      </w:pPr>
    </w:p>
    <w:p>
      <w:pPr>
        <w:ind w:left="150" w:hanging="150"/>
        <w:spacing w:after="0"/>
        <w:tabs>
          <w:tab w:leader="none" w:pos="150" w:val="left"/>
        </w:tabs>
        <w:numPr>
          <w:ilvl w:val="0"/>
          <w:numId w:val="3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percentage of revenue is calculated for each line item divided by total revenue, except for Adjusted EBITDA, which are divided by the related component of revenue.</w:t>
      </w:r>
    </w:p>
    <w:p>
      <w:pPr>
        <w:sectPr>
          <w:pgSz w:w="12240" w:h="15840" w:orient="portrait"/>
          <w:cols w:equalWidth="0" w:num="1">
            <w:col w:w="10630"/>
          </w:cols>
          <w:pgMar w:left="810" w:top="220" w:right="80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630"/>
          </w:cols>
          <w:pgMar w:left="810" w:top="220" w:right="800" w:bottom="0" w:gutter="0" w:footer="0" w:header="0"/>
          <w:type w:val="continuous"/>
        </w:sectPr>
      </w:pPr>
    </w:p>
    <w:bookmarkStart w:id="48" w:name="page49"/>
    <w:bookmarkEnd w:id="48"/>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Revenue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For the year ended December 31, 2025 compared to the year ended </w:t>
      </w:r>
      <w:r>
        <w:rPr>
          <w:rFonts w:ascii="Times New Roman" w:cs="Times New Roman" w:eastAsia="Times New Roman" w:hAnsi="Times New Roman"/>
          <w:sz w:val="20"/>
          <w:szCs w:val="20"/>
          <w:color w:val="auto"/>
        </w:rPr>
        <w:t>December 31, 2024</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Retail revenue decreased 6% for the year ended December 31, 2025 compared to the prior year period. The decrease in revenue is mainly related to a decrease in hardware revenue and software license revenue, as well as a decrease in installation services revenue and professional services revenue for one-time revenues recognized in the prior year. These decreases are partially offset by an increase in hardware maintenance and software maintenance revenue as compared to the prior year. Retail recurring revenue increased 4% in 2025 as compared to 2024.</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Restaurants revenue decreased 1% for the year ended December 31, 2025 compared to the prior year period driven by a decrease in installation revenue, SaaS solutions revenue, software maintenance revenue, professional services revenue and software license revenue, mainly related to one-time non-recurring revenue recognized in the prior year. These decreases in revenue are partially offset by an increase in payment processing revenue, hardware revenue and hardware maintenance revenue as compared to the prior year. Restaurants recurring revenue increased 2% in 2025 as compared to 2024.</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For the operations grouped as Other, revenue decreased 27% for the year ended December 31, 2025 compared to the prior year period due to declines in revenue related to the commercial agreements with NCR Atleos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For the year ended </w:t>
      </w:r>
      <w:r>
        <w:rPr>
          <w:rFonts w:ascii="Times New Roman" w:cs="Times New Roman" w:eastAsia="Times New Roman" w:hAnsi="Times New Roman"/>
          <w:sz w:val="20"/>
          <w:szCs w:val="20"/>
          <w:color w:val="auto"/>
        </w:rPr>
        <w:t>December 31, 2024</w:t>
      </w:r>
      <w:r>
        <w:rPr>
          <w:rFonts w:ascii="Times New Roman" w:cs="Times New Roman" w:eastAsia="Times New Roman" w:hAnsi="Times New Roman"/>
          <w:sz w:val="20"/>
          <w:szCs w:val="20"/>
          <w:b w:val="1"/>
          <w:bCs w:val="1"/>
          <w:i w:val="1"/>
          <w:iCs w:val="1"/>
          <w:color w:val="auto"/>
        </w:rPr>
        <w:t xml:space="preserve"> compared to the year ended </w:t>
      </w:r>
      <w:r>
        <w:rPr>
          <w:rFonts w:ascii="Times New Roman" w:cs="Times New Roman" w:eastAsia="Times New Roman" w:hAnsi="Times New Roman"/>
          <w:sz w:val="20"/>
          <w:szCs w:val="20"/>
          <w:color w:val="auto"/>
        </w:rPr>
        <w:t>December 31, 2023</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 comparison of the results of operations for 2024 versus that of 2023 was included in our Annual Report on Form 10-K for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Adjusted EBITDA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For the year ended </w:t>
      </w:r>
      <w:r>
        <w:rPr>
          <w:rFonts w:ascii="Times New Roman" w:cs="Times New Roman" w:eastAsia="Times New Roman" w:hAnsi="Times New Roman"/>
          <w:sz w:val="20"/>
          <w:szCs w:val="20"/>
          <w:color w:val="auto"/>
        </w:rPr>
        <w:t>December 31, 2025</w:t>
      </w:r>
      <w:r>
        <w:rPr>
          <w:rFonts w:ascii="Times New Roman" w:cs="Times New Roman" w:eastAsia="Times New Roman" w:hAnsi="Times New Roman"/>
          <w:sz w:val="20"/>
          <w:szCs w:val="20"/>
          <w:b w:val="1"/>
          <w:bCs w:val="1"/>
          <w:i w:val="1"/>
          <w:iCs w:val="1"/>
          <w:color w:val="auto"/>
        </w:rPr>
        <w:t xml:space="preserve"> compared to the year ended </w:t>
      </w:r>
      <w:r>
        <w:rPr>
          <w:rFonts w:ascii="Times New Roman" w:cs="Times New Roman" w:eastAsia="Times New Roman" w:hAnsi="Times New Roman"/>
          <w:sz w:val="20"/>
          <w:szCs w:val="20"/>
          <w:color w:val="auto"/>
        </w:rPr>
        <w:t>December 31, 2024</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Retail Adjusted EBITDA decreased 9% for the year ended December 31, 2025 compared to the prior year period due to lower one-time software and services revenue in the current year as well as increased labor costs year over year.</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Restaurants Adjusted EBITDA increased 6% for the year ended December 31, 2025 compared to the prior year period due to favorable software and services revenue mix, as well as cost mitigation actions implemented beginning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For the year ended </w:t>
      </w:r>
      <w:r>
        <w:rPr>
          <w:rFonts w:ascii="Times New Roman" w:cs="Times New Roman" w:eastAsia="Times New Roman" w:hAnsi="Times New Roman"/>
          <w:sz w:val="20"/>
          <w:szCs w:val="20"/>
          <w:color w:val="auto"/>
        </w:rPr>
        <w:t>December 31, 2024</w:t>
      </w:r>
      <w:r>
        <w:rPr>
          <w:rFonts w:ascii="Times New Roman" w:cs="Times New Roman" w:eastAsia="Times New Roman" w:hAnsi="Times New Roman"/>
          <w:sz w:val="20"/>
          <w:szCs w:val="20"/>
          <w:b w:val="1"/>
          <w:bCs w:val="1"/>
          <w:i w:val="1"/>
          <w:iCs w:val="1"/>
          <w:color w:val="auto"/>
        </w:rPr>
        <w:t xml:space="preserve"> compared to the year ended </w:t>
      </w:r>
      <w:r>
        <w:rPr>
          <w:rFonts w:ascii="Times New Roman" w:cs="Times New Roman" w:eastAsia="Times New Roman" w:hAnsi="Times New Roman"/>
          <w:sz w:val="20"/>
          <w:szCs w:val="20"/>
          <w:color w:val="auto"/>
        </w:rPr>
        <w:t>December 31, 2023</w:t>
      </w:r>
    </w:p>
    <w:p>
      <w:pPr>
        <w:spacing w:after="0" w:line="25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 comparison of the Segment Adjusted EBITDA results for 2024 versus that of 2023 was included in our Annual Report on Form 10-K for the year ended December 31, 2024.</w:t>
      </w:r>
    </w:p>
    <w:p>
      <w:pPr>
        <w:sectPr>
          <w:pgSz w:w="12240" w:h="15840" w:orient="portrait"/>
          <w:cols w:equalWidth="0" w:num="1">
            <w:col w:w="10600"/>
          </w:cols>
          <w:pgMar w:left="820" w:top="2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600"/>
          </w:cols>
          <w:pgMar w:left="820" w:top="220" w:right="820" w:bottom="0" w:gutter="0" w:footer="0" w:header="0"/>
          <w:type w:val="continuous"/>
        </w:sectPr>
      </w:pPr>
    </w:p>
    <w:bookmarkStart w:id="49" w:name="page50"/>
    <w:bookmarkEnd w:id="49"/>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CONDITION, LIQUIDITY AND CAPITAL RESOURCES</w:t>
      </w:r>
    </w:p>
    <w:p>
      <w:pPr>
        <w:spacing w:after="0" w:line="25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General </w:t>
      </w:r>
      <w:r>
        <w:rPr>
          <w:rFonts w:ascii="Times New Roman" w:cs="Times New Roman" w:eastAsia="Times New Roman" w:hAnsi="Times New Roman"/>
          <w:sz w:val="20"/>
          <w:szCs w:val="20"/>
          <w:color w:val="auto"/>
        </w:rPr>
        <w:t>Our primary liquidity needs in the ordinary course of business are: (i) normal operating expenses; (ii) interest and principal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requirements of our outstanding indebtedness; (iii) capital expenditures and lease payments; (iv) remediation payments related to environmental matters; (v) pension and postemployment plan contributions; and (vi) transformation and restructuring initiatives. We believe these needs will be satisfied in both the short and long term based on our current cash position, cash flows generated by our operations and existing financing arrangements.</w:t>
      </w:r>
    </w:p>
    <w:p>
      <w:pPr>
        <w:spacing w:after="0" w:line="20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of December 31, 2025, our cash and cash equivalents totaled $231 million and our total debt was $1.1 billion. Our borrowing capacity under our senior secured credit facilities was $476 million at December 31, 2025. Our ability to generate positive cash flows from operations is dependent on general economic conditions and the competitive environment in our industry, and is subject to the business and other risk factors described in Item 1A of Part I of this Report. If we are unable to generate sufficient cash flows from operations, or otherwise comply with the terms of our credit facilities, we may be required to seek additional financing alternatives.</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our cash flows from operating activities, investing activities and financing activities. The Consolidated Statements of Cash Flows include the results of continuing and discontinued operations.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180" w:type="dxa"/>
            <w:vAlign w:val="bottom"/>
            <w:tcBorders>
              <w:bottom w:val="single" w:sz="8" w:color="auto"/>
            </w:tcBorders>
          </w:tcPr>
          <w:p>
            <w:pPr>
              <w:spacing w:after="0"/>
              <w:rPr>
                <w:sz w:val="18"/>
                <w:szCs w:val="18"/>
                <w:color w:val="auto"/>
              </w:rPr>
            </w:pPr>
          </w:p>
        </w:tc>
      </w:tr>
      <w:tr>
        <w:trPr>
          <w:trHeight w:val="235"/>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(210)</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w:t>
            </w:r>
          </w:p>
        </w:tc>
      </w:tr>
      <w:tr>
        <w:trPr>
          <w:trHeight w:val="30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w:t>
            </w:r>
          </w:p>
        </w:tc>
      </w:tr>
      <w:tr>
        <w:trPr>
          <w:trHeight w:val="30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721475" cy="596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6721475" cy="596900"/>
                    </a:xfrm>
                    <a:prstGeom prst="rect">
                      <a:avLst/>
                    </a:prstGeom>
                    <a:noFill/>
                  </pic:spPr>
                </pic:pic>
              </a:graphicData>
            </a:graphic>
          </wp:anchor>
        </w:drawing>
      </w:r>
    </w:p>
    <w:p>
      <w:pPr>
        <w:spacing w:after="0" w:line="26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Operating Activities </w:t>
      </w:r>
      <w:r>
        <w:rPr>
          <w:rFonts w:ascii="Times New Roman" w:cs="Times New Roman" w:eastAsia="Times New Roman" w:hAnsi="Times New Roman"/>
          <w:sz w:val="20"/>
          <w:szCs w:val="20"/>
          <w:color w:val="auto"/>
        </w:rPr>
        <w:t>Cash used in operating activities was $210 million for the year ended December 31, 2025 compared to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used in operating activities of $132 million for the year ended December 31, 2024. The increase in cash used in operating activities was driven by the payment of taxes related to the Digital Banking Sale of $284 million, as well as movement in the net working capital accounts.</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Cash used in operating activities was $132 million for the year ended December 31, 2024 compared to cash provided by operating activities of $694 million for the year ended December 31, 2023. The increase in cash used in operating activities was driven by discontinued operations, movement in net working capital accounts and employee related payments in 2024.</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Capital Expenditures and Other Investing Activities </w:t>
      </w:r>
      <w:r>
        <w:rPr>
          <w:rFonts w:ascii="Times New Roman" w:cs="Times New Roman" w:eastAsia="Times New Roman" w:hAnsi="Times New Roman"/>
          <w:sz w:val="20"/>
          <w:szCs w:val="20"/>
          <w:color w:val="auto"/>
        </w:rPr>
        <w:t>Our principal capital expenditures are for software (purchased and internally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developed) and additions to property and equipment. We invested approximately $165 million, $217 million and $377 million in capital expenditures during 2025, 2024 and 2023, respectively. We expect to continue investing in our internally developed software, purchased software and property and equipment to support our business. During 2024, the Company paid $300 million to terminate its trade receivables facility and reacquired all of the outstanding trade receivables that had previously been sold by it. The Company collected $8 million of purchased trade receivables during 2025, as compared to $212 million during 2024. Additionally, during 2025, the company received proceeds of $16 million related to the sale of property, plant and equipment. During 2024, the Company disposed of certain corporate-owned life insurance policies and received proceeds of $36 million and received proceeds of $2.5 billion related to the Digital Banking Sale.</w:t>
      </w:r>
    </w:p>
    <w:p>
      <w:pPr>
        <w:spacing w:after="0" w:line="20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Financing Activities </w:t>
      </w:r>
      <w:r>
        <w:rPr>
          <w:rFonts w:ascii="Times New Roman" w:cs="Times New Roman" w:eastAsia="Times New Roman" w:hAnsi="Times New Roman"/>
          <w:sz w:val="20"/>
          <w:szCs w:val="20"/>
          <w:color w:val="auto"/>
        </w:rPr>
        <w:t>Financing activities mainly related to borrowings and repayments under our senior secured credit facilities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well as our unsecured senior notes. Financing activities also included dividends paid on the Series A preferred stock, proceeds from employee stock plans as well as payments made for share repurchases and tax withholding payments on behalf of employees for stock based awards that vested. During 2025, the Company repurchased $74 million of preferred shares and $74 million of common stock under our share repurchase program.</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620"/>
          </w:cols>
          <w:pgMar w:left="820" w:top="220" w:right="800" w:bottom="0" w:gutter="0" w:footer="0" w:header="0"/>
          <w:type w:val="continuous"/>
        </w:sectPr>
      </w:pPr>
    </w:p>
    <w:bookmarkStart w:id="50" w:name="page51"/>
    <w:bookmarkEnd w:id="50"/>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information related to cash flows from discontinued operations related to the Digital Banking Sale and the Spin-Off of NCR Atleos: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160" w:type="dxa"/>
            <w:vAlign w:val="bottom"/>
            <w:tcBorders>
              <w:bottom w:val="single" w:sz="8" w:color="auto"/>
            </w:tcBorders>
          </w:tcPr>
          <w:p>
            <w:pPr>
              <w:spacing w:after="0"/>
              <w:rPr>
                <w:sz w:val="18"/>
                <w:szCs w:val="18"/>
                <w:color w:val="auto"/>
              </w:rPr>
            </w:pPr>
          </w:p>
        </w:tc>
      </w:tr>
      <w:tr>
        <w:trPr>
          <w:trHeight w:val="280"/>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w:t>
            </w:r>
          </w:p>
        </w:tc>
      </w:tr>
      <w:tr>
        <w:trPr>
          <w:trHeight w:val="30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400" w:type="dxa"/>
            <w:vAlign w:val="bottom"/>
          </w:tcPr>
          <w:p>
            <w:pPr>
              <w:spacing w:after="0"/>
              <w:rPr>
                <w:sz w:val="24"/>
                <w:szCs w:val="24"/>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r>
      <w:tr>
        <w:trPr>
          <w:trHeight w:val="300"/>
        </w:trPr>
        <w:tc>
          <w:tcPr>
            <w:tcW w:w="548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400" w:type="dxa"/>
            <w:vAlign w:val="bottom"/>
          </w:tcPr>
          <w:p>
            <w:pPr>
              <w:spacing w:after="0"/>
              <w:rPr>
                <w:sz w:val="24"/>
                <w:szCs w:val="24"/>
                <w:color w:val="auto"/>
              </w:rPr>
            </w:pPr>
          </w:p>
        </w:tc>
        <w:tc>
          <w:tcPr>
            <w:tcW w:w="1680" w:type="dxa"/>
            <w:vAlign w:val="bottom"/>
            <w:gridSpan w:val="3"/>
          </w:tcPr>
          <w:p>
            <w:pPr>
              <w:ind w:left="940"/>
              <w:spacing w:after="0"/>
              <w:rPr>
                <w:sz w:val="20"/>
                <w:szCs w:val="20"/>
                <w:color w:val="auto"/>
              </w:rPr>
            </w:pPr>
            <w:r>
              <w:rPr>
                <w:rFonts w:ascii="Times New Roman" w:cs="Times New Roman" w:eastAsia="Times New Roman" w:hAnsi="Times New Roman"/>
                <w:sz w:val="20"/>
                <w:szCs w:val="20"/>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-761365</wp:posOffset>
            </wp:positionV>
            <wp:extent cx="6702425" cy="787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extLst>
                    </a:blip>
                    <a:srcRect/>
                    <a:stretch>
                      <a:fillRect/>
                    </a:stretch>
                  </pic:blipFill>
                  <pic:spPr bwMode="auto">
                    <a:xfrm>
                      <a:off x="0" y="0"/>
                      <a:ext cx="6702425" cy="787400"/>
                    </a:xfrm>
                    <a:prstGeom prst="rect">
                      <a:avLst/>
                    </a:prstGeom>
                    <a:noFill/>
                  </pic:spPr>
                </pic:pic>
              </a:graphicData>
            </a:graphic>
          </wp:anchor>
        </w:drawing>
      </w:r>
    </w:p>
    <w:p>
      <w:pPr>
        <w:spacing w:after="0" w:line="2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Net cash used in operating activities of discontinued operations related to environmental obligations were $37 million, $20 million and $19 million for fiscal years 2025, 2024 and 2023, respectively.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Adjusted free cash flow-unrestricted </w:t>
      </w:r>
      <w:r>
        <w:rPr>
          <w:rFonts w:ascii="Times New Roman" w:cs="Times New Roman" w:eastAsia="Times New Roman" w:hAnsi="Times New Roman"/>
          <w:sz w:val="20"/>
          <w:szCs w:val="20"/>
          <w:color w:val="auto"/>
        </w:rPr>
        <w:t>NCR Voyix management uses a non-GAAP measure called “adjusted free cash flow-unrestricted” to assess the financial performance of the Company. We define adjusted free cash flow-unrestricted within the section titled “</w:t>
      </w:r>
      <w:r>
        <w:rPr>
          <w:rFonts w:ascii="Times New Roman" w:cs="Times New Roman" w:eastAsia="Times New Roman" w:hAnsi="Times New Roman"/>
          <w:sz w:val="20"/>
          <w:szCs w:val="20"/>
          <w:u w:val="single" w:color="auto"/>
          <w:color w:val="auto"/>
        </w:rPr>
        <w:t>Non-GAAP Financial Measures and Use of Certain Terms</w:t>
      </w:r>
      <w:r>
        <w:rPr>
          <w:rFonts w:ascii="Times New Roman" w:cs="Times New Roman" w:eastAsia="Times New Roman" w:hAnsi="Times New Roman"/>
          <w:sz w:val="20"/>
          <w:szCs w:val="20"/>
          <w:color w:val="auto"/>
        </w:rPr>
        <w:t>” in Part I, Item 7 of this Form 10-K. The table below reconciles net cash provided by operating activities to NCR Voyix’s non-GAAP measure of adjusted free cash flow-unrestricted for the twelve months ended December 31, 2025:</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Twelve months ended December 31, 2025</w:t>
            </w:r>
            <w:r>
              <w:rPr>
                <w:rFonts w:ascii="Times New Roman" w:cs="Times New Roman" w:eastAsia="Times New Roman" w:hAnsi="Times New Roman"/>
                <w:sz w:val="20"/>
                <w:szCs w:val="20"/>
                <w:b w:val="1"/>
                <w:bCs w:val="1"/>
                <w:color w:val="auto"/>
                <w:vertAlign w:val="superscript"/>
              </w:rPr>
              <w:t>(1)</w:t>
            </w:r>
          </w:p>
        </w:tc>
      </w:tr>
      <w:tr>
        <w:trPr>
          <w:trHeight w:val="277"/>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 (GAAP)</w:t>
            </w:r>
          </w:p>
        </w:tc>
        <w:tc>
          <w:tcPr>
            <w:tcW w:w="13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(210)</w:t>
            </w:r>
          </w:p>
        </w:tc>
      </w:tr>
      <w:tr>
        <w:trPr>
          <w:trHeight w:val="300"/>
        </w:trPr>
        <w:tc>
          <w:tcPr>
            <w:tcW w:w="7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Capital expenditures</w:t>
            </w:r>
          </w:p>
        </w:tc>
        <w:tc>
          <w:tcPr>
            <w:tcW w:w="13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(165)</w:t>
            </w:r>
          </w:p>
        </w:tc>
      </w:tr>
      <w:tr>
        <w:trPr>
          <w:trHeight w:val="300"/>
        </w:trPr>
        <w:tc>
          <w:tcPr>
            <w:tcW w:w="7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Restricted cash settlement activity</w:t>
            </w:r>
          </w:p>
        </w:tc>
        <w:tc>
          <w:tcPr>
            <w:tcW w:w="13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w:t>
            </w:r>
          </w:p>
        </w:tc>
      </w:tr>
      <w:tr>
        <w:trPr>
          <w:trHeight w:val="300"/>
        </w:trPr>
        <w:tc>
          <w:tcPr>
            <w:tcW w:w="7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taxes paid for the Digital Banking Sale</w:t>
            </w:r>
          </w:p>
        </w:tc>
        <w:tc>
          <w:tcPr>
            <w:tcW w:w="13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284</w:t>
            </w:r>
          </w:p>
        </w:tc>
      </w:tr>
      <w:tr>
        <w:trPr>
          <w:trHeight w:val="300"/>
        </w:trPr>
        <w:tc>
          <w:tcPr>
            <w:tcW w:w="7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Pension contributions</w:t>
            </w:r>
          </w:p>
        </w:tc>
        <w:tc>
          <w:tcPr>
            <w:tcW w:w="13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w:t>
            </w:r>
          </w:p>
        </w:tc>
      </w:tr>
      <w:tr>
        <w:trPr>
          <w:trHeight w:val="300"/>
        </w:trPr>
        <w:tc>
          <w:tcPr>
            <w:tcW w:w="7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Collections on purchased trade receivables</w:t>
            </w:r>
          </w:p>
        </w:tc>
        <w:tc>
          <w:tcPr>
            <w:tcW w:w="13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r>
      <w:tr>
        <w:trPr>
          <w:trHeight w:val="300"/>
        </w:trPr>
        <w:tc>
          <w:tcPr>
            <w:tcW w:w="7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activity related to environmental discontinued operations</w:t>
            </w:r>
          </w:p>
        </w:tc>
        <w:tc>
          <w:tcPr>
            <w:tcW w:w="13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r>
      <w:tr>
        <w:trPr>
          <w:trHeight w:val="303"/>
        </w:trPr>
        <w:tc>
          <w:tcPr>
            <w:tcW w:w="75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Acceleration projects</w:t>
            </w:r>
          </w:p>
        </w:tc>
        <w:tc>
          <w:tcPr>
            <w:tcW w:w="1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w:t>
            </w:r>
          </w:p>
        </w:tc>
      </w:tr>
      <w:tr>
        <w:trPr>
          <w:trHeight w:val="260"/>
        </w:trPr>
        <w:tc>
          <w:tcPr>
            <w:tcW w:w="7500" w:type="dxa"/>
            <w:vAlign w:val="bottom"/>
          </w:tcPr>
          <w:p>
            <w:pPr>
              <w:spacing w:after="0"/>
              <w:rPr>
                <w:sz w:val="20"/>
                <w:szCs w:val="20"/>
                <w:color w:val="auto"/>
              </w:rPr>
            </w:pPr>
            <w:r>
              <w:rPr>
                <w:rFonts w:ascii="Times New Roman" w:cs="Times New Roman" w:eastAsia="Times New Roman" w:hAnsi="Times New Roman"/>
                <w:sz w:val="20"/>
                <w:szCs w:val="20"/>
                <w:color w:val="auto"/>
              </w:rPr>
              <w:t>Adjusted free cash flow-unrestricted (non-GAAP)</w:t>
            </w:r>
          </w:p>
        </w:tc>
        <w:tc>
          <w:tcPr>
            <w:tcW w:w="1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r>
      <w:tr>
        <w:trPr>
          <w:trHeight w:val="20"/>
        </w:trPr>
        <w:tc>
          <w:tcPr>
            <w:tcW w:w="7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781800" cy="1765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extLst>
                    </a:blip>
                    <a:srcRect/>
                    <a:stretch>
                      <a:fillRect/>
                    </a:stretch>
                  </pic:blipFill>
                  <pic:spPr bwMode="auto">
                    <a:xfrm>
                      <a:off x="0" y="0"/>
                      <a:ext cx="6781800" cy="1765300"/>
                    </a:xfrm>
                    <a:prstGeom prst="rect">
                      <a:avLst/>
                    </a:prstGeom>
                    <a:noFill/>
                  </pic:spPr>
                </pic:pic>
              </a:graphicData>
            </a:graphic>
          </wp:anchor>
        </w:drawing>
      </w:r>
    </w:p>
    <w:p>
      <w:pPr>
        <w:spacing w:after="0" w:line="6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Adjusted free cash flow-unrestricted for 2024 is not meaningful for comparison purposes given the presentation of cash flows due to the Spin-Off of NCR Atleos and the Digital Banking Sale.</w:t>
      </w:r>
    </w:p>
    <w:p>
      <w:pPr>
        <w:spacing w:after="0" w:line="20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Long Term Borrowings </w:t>
      </w:r>
      <w:r>
        <w:rPr>
          <w:rFonts w:ascii="Times New Roman" w:cs="Times New Roman" w:eastAsia="Times New Roman" w:hAnsi="Times New Roman"/>
          <w:sz w:val="20"/>
          <w:szCs w:val="20"/>
          <w:color w:val="auto"/>
        </w:rPr>
        <w:t>The senior secured credit facilities include a term loan facility in an initial aggregate principal amount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$200 million, of which there was no outstanding balance as of December 31, 2025. Additionally, the senior secured credit facilities include a five-year Revolving Credit Facility with an aggregate principal amount of $500 million, of which there was no outstanding balance as of December 31, 2025. The Revolving Credit Facility also contains a sub-facility to be used for letters of credit, and as of December 31, 2025, there were $24 million letters of credit outstanding.</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2025, we had outstanding $650 million aggregate principal balance of 5.000% senior unsecured notes due in 2028, $403 million in aggregate principal balance of 5.125% senior unsecured notes due in 2029 and $52 million in aggregate principal balance of 5.250% senior unsecured notes due in 2030.</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See Note 6, “Debt Obligations”, of the Notes to Consolidated Financial Statements included in Item 8 of this Report for further information on the senior secured credit facilities and senior unsecured notes.</w:t>
      </w:r>
    </w:p>
    <w:p>
      <w:pPr>
        <w:spacing w:after="0" w:line="17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Employee Benefit Plans </w:t>
      </w:r>
      <w:r>
        <w:rPr>
          <w:rFonts w:ascii="Times New Roman" w:cs="Times New Roman" w:eastAsia="Times New Roman" w:hAnsi="Times New Roman"/>
          <w:sz w:val="20"/>
          <w:szCs w:val="20"/>
          <w:color w:val="auto"/>
        </w:rPr>
        <w:t>In 2026, we expect to make contributions of $14 million to our international pension plans and $19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our postemployment plan. See Note 10, “Employee Benefit Plans”, of the Notes to Consolidated Financial Statements included in Item 8 of Part II of this Report for additional discussion on our pension and postemployment plans.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Series A Convertible Preferred Stock </w:t>
      </w:r>
      <w:r>
        <w:rPr>
          <w:rFonts w:ascii="Times New Roman" w:cs="Times New Roman" w:eastAsia="Times New Roman" w:hAnsi="Times New Roman"/>
          <w:sz w:val="20"/>
          <w:szCs w:val="20"/>
          <w:color w:val="auto"/>
        </w:rPr>
        <w:t>In 2015, the Company issued 820,000 shares of Series A Convertible Preferred Stock.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2025, there were approximately 200,000 shares that remained issued and outstanding with a redemption value of approximately $207 million. Holders of Series A Convertible Preferred Stock are entitled to a cumulative dividend at the rate of 5.5% per annum, which are payable in cash or in-kind at the option of the Company. During the years ended December 31, 2025 and 2024, the Company paid cash dividends of $15 million. The holders also have certain redemption rights or put rights, including the right to require us to repurchase all or any portion of the Series A Convertible Preferred Stock on any date during the three months commencing on and immediately following March 16, 2027, March 16, 2030 and March 16, 2033.</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620"/>
          </w:cols>
          <w:pgMar w:left="820" w:top="220" w:right="800" w:bottom="0" w:gutter="0" w:footer="0" w:header="0"/>
          <w:type w:val="continuous"/>
        </w:sectPr>
      </w:pPr>
    </w:p>
    <w:bookmarkStart w:id="51" w:name="page52"/>
    <w:bookmarkEnd w:id="51"/>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 shares of common stock per share of Series A Convertible Preferred Stock, effective immediately after the close of business on October 17, 2023. As of December 31, 2025, the maximum number of common shares that could be required to be issued upon conversion of the outstanding shares of the Series A Convertible Preferred Stock was 11.9 million shares, which would represent approximately 8% of our outstanding common stock as of December 31, 2025, including the preferred shares on an as-converted basis.</w:t>
      </w:r>
    </w:p>
    <w:p>
      <w:pPr>
        <w:spacing w:after="0" w:line="20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Cash and Cash Equivalents Held by Foreign Subsidiaries </w:t>
      </w:r>
      <w:r>
        <w:rPr>
          <w:rFonts w:ascii="Times New Roman" w:cs="Times New Roman" w:eastAsia="Times New Roman" w:hAnsi="Times New Roman"/>
          <w:sz w:val="20"/>
          <w:szCs w:val="20"/>
          <w:color w:val="auto"/>
        </w:rPr>
        <w:t>Cash and cash equivalents held by the Company’s foreign subsidiaries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were $120 million and $134 million at December 31, 2025 and 2024, respectively. Under current tax laws and regulations, if cash and cash equivalents and short-term investments held outside the U.S. are distributed to the U.S. in the form of dividends or otherwise, we may be subject to additional U.S. income taxes and foreign withholding taxes, which could be significant.</w:t>
      </w:r>
    </w:p>
    <w:p>
      <w:pPr>
        <w:spacing w:after="0" w:line="19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Material Cash Requirements from Contractual and Other Obligations </w:t>
      </w:r>
      <w:r>
        <w:rPr>
          <w:rFonts w:ascii="Times New Roman" w:cs="Times New Roman" w:eastAsia="Times New Roman" w:hAnsi="Times New Roman"/>
          <w:sz w:val="20"/>
          <w:szCs w:val="20"/>
          <w:color w:val="auto"/>
        </w:rPr>
        <w:t>In the normal course of business, we enter into various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contractual obligations that impact, or could impact, the liquidity of our operations. The following table and discussion outlines our material obligations as of December 31, 2025 on an undiscounted basis, with projected cash payments in the years shown:</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6"/>
                <w:szCs w:val="16"/>
                <w:color w:val="auto"/>
              </w:rPr>
            </w:pPr>
          </w:p>
        </w:tc>
        <w:tc>
          <w:tcPr>
            <w:tcW w:w="820" w:type="dxa"/>
            <w:vAlign w:val="bottom"/>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6"/>
                <w:szCs w:val="16"/>
                <w:color w:val="auto"/>
              </w:rPr>
            </w:pPr>
          </w:p>
        </w:tc>
        <w:tc>
          <w:tcPr>
            <w:tcW w:w="740" w:type="dxa"/>
            <w:vAlign w:val="bottom"/>
            <w:vMerge w:val="restart"/>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6"/>
                <w:szCs w:val="16"/>
                <w:color w:val="auto"/>
              </w:rPr>
            </w:pPr>
          </w:p>
        </w:tc>
        <w:tc>
          <w:tcPr>
            <w:tcW w:w="84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8"/>
              </w:rPr>
              <w:t>2027-2028</w:t>
            </w:r>
          </w:p>
        </w:tc>
        <w:tc>
          <w:tcPr>
            <w:tcW w:w="160" w:type="dxa"/>
            <w:vAlign w:val="bottom"/>
          </w:tcPr>
          <w:p>
            <w:pPr>
              <w:spacing w:after="0"/>
              <w:rPr>
                <w:sz w:val="16"/>
                <w:szCs w:val="16"/>
                <w:color w:val="auto"/>
              </w:rPr>
            </w:pPr>
          </w:p>
        </w:tc>
        <w:tc>
          <w:tcPr>
            <w:tcW w:w="84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w w:val="98"/>
              </w:rPr>
              <w:t>2029-2030</w:t>
            </w:r>
          </w:p>
        </w:tc>
        <w:tc>
          <w:tcPr>
            <w:tcW w:w="220" w:type="dxa"/>
            <w:vAlign w:val="bottom"/>
          </w:tcPr>
          <w:p>
            <w:pPr>
              <w:spacing w:after="0"/>
              <w:rPr>
                <w:sz w:val="16"/>
                <w:szCs w:val="16"/>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2031 &amp;</w:t>
            </w:r>
          </w:p>
        </w:tc>
        <w:tc>
          <w:tcPr>
            <w:tcW w:w="0" w:type="dxa"/>
            <w:vAlign w:val="bottom"/>
          </w:tcPr>
          <w:p>
            <w:pPr>
              <w:spacing w:after="0"/>
              <w:rPr>
                <w:sz w:val="1"/>
                <w:szCs w:val="1"/>
                <w:color w:val="auto"/>
              </w:rPr>
            </w:pPr>
          </w:p>
        </w:tc>
      </w:tr>
      <w:tr>
        <w:trPr>
          <w:trHeight w:val="214"/>
        </w:trPr>
        <w:tc>
          <w:tcPr>
            <w:tcW w:w="54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7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Debt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1,105</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Interest on debt obligations</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183</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Estimated environmental liability payments</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111</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30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Lease obligations</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346</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30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Purchase obligations</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356</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Litigation matters</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Total obligations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2,123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-1364615</wp:posOffset>
            </wp:positionV>
            <wp:extent cx="6696075" cy="138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extLst>
                        <a:ext uri="{28A0092B-C50C-407E-A947-70E740481C1C}"/>
                      </a:extLst>
                    </a:blip>
                    <a:srcRect/>
                    <a:stretch>
                      <a:fillRect/>
                    </a:stretch>
                  </pic:blipFill>
                  <pic:spPr bwMode="auto">
                    <a:xfrm>
                      <a:off x="0" y="0"/>
                      <a:ext cx="6696075" cy="1384300"/>
                    </a:xfrm>
                    <a:prstGeom prst="rect">
                      <a:avLst/>
                    </a:prstGeom>
                    <a:noFill/>
                  </pic:spPr>
                </pic:pic>
              </a:graphicData>
            </a:graphic>
          </wp:anchor>
        </w:drawing>
      </w:r>
    </w:p>
    <w:p>
      <w:pPr>
        <w:spacing w:after="0" w:line="2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For purposes of this table, we used interest rates as of December 31, 2025 to estimate the future interest on debt obligations outstanding as of December 31, 2025 and have assumed no voluntary prepayments of existing debt. See Note 6, “Debt Obligations” of the Notes to Consolidated Financial Statements included in Item 8 of Part II of this Report for additional disclosure related to our debt obligations and the related interest rate terms.</w:t>
      </w:r>
    </w:p>
    <w:p>
      <w:pPr>
        <w:spacing w:after="0" w:line="20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estimated environmental liability payments included in the table of material cash requirements shown above are related primarily to the Kalamazoo River environmental matter. As of December 31, 2025, all of the Company’s remedial obligations for the Fox River and Ebina matters have been completed. For the Kalamazoo River matter, the amounts shown are our expected payments, net of the payment obligations of co-obligors and an estimate for payments to be received from indemnification parties. Following the Spin-Off, the Company retained the responsibility to manage the identified environmental liabilities and remediation, subject however to an indemnity obligation by NCR Atleos to contribute 50% of the costs of certain environmental liabilities after an annual $15 million funding threshold is met. Given the uncertainty of timing and amount of the indemnity payments, these amounts are not reflected within the table above after 2026. For additional information, refer to Note 11, “Commitments and Contingencies”, of the Notes to Consolidated Financial Statements included in Item 8 of Part II of this Report.</w:t>
      </w:r>
    </w:p>
    <w:p>
      <w:pPr>
        <w:spacing w:after="0" w:line="2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Our lease obligations are primarily for future rental amounts for our world headquarters in Atlanta, Georgia, as well as for certain sales facilities in various domestic and international locations and leases related to equipment and vehicles.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Purchase obligations represent committed purchase orders and other contractual commitments for goods or services. The purchase obligation amounts were determined through information in our procurement systems and payment schedules for significant contracts.</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Litigation matters represents costs of a certain legal matter, net of expected indemnity recoveries from NCR Atleos, as discussed in Note 11, “Commitments and Contingencies” of the Notes to Consolidated Financial Statements included in Item 8 of Part II of this Report.</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have a liability related to our uncertain tax positions. Due to the nature of the underlying liabilities and the extended time often needed to resolve income tax uncertainties, we cannot make reliable estimates of the amount or timing of cash payments that may be required to settle these liabilities. Additionally, the Company’s current tax liability was $13 million and $336 million as of</w:t>
      </w:r>
    </w:p>
    <w:p>
      <w:pPr>
        <w:sectPr>
          <w:pgSz w:w="12240" w:h="15840" w:orient="portrait"/>
          <w:cols w:equalWidth="0" w:num="1">
            <w:col w:w="10620"/>
          </w:cols>
          <w:pgMar w:left="820" w:top="220" w:right="800" w:bottom="0" w:gutter="0" w:footer="0" w:header="0"/>
        </w:sect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620"/>
          </w:cols>
          <w:pgMar w:left="820" w:top="220" w:right="800" w:bottom="0" w:gutter="0" w:footer="0" w:header="0"/>
          <w:type w:val="continuous"/>
        </w:sectPr>
      </w:pPr>
    </w:p>
    <w:bookmarkStart w:id="52" w:name="page53"/>
    <w:bookmarkEnd w:id="52"/>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December 31, 2025 and December 31, 2024, respectively, presented within Other current liabilities on the Consolidated Balance Sheets. The decrease in the tax liability is due to tax payments made in 2025 related to the Digital Banking Sale. For additional information, refer to Note 8, “Income Taxes”, of the Notes to Consolidated Financial Statements included in Item 8 of Part II of this Report.</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Our international employee benefit plans, which are described in Note 10, “Employee Benefit Plans”, of the Notes to Consolidated Financial Statements included in Item 8 of Part II of this Report, could require significant future cash payments. Our international retirement plans were in an underfunded position of $98 million as of December 31, 2025, as compared to an underfunded position of $104 million as of December 31, 2024. The decrease in our underfunded position of international plans is primarily attributable to an increase in the fair value of plan assets, partially offset by an increase in the discount rates used to measure the benefit obligation. Contributions to international pension plans are expected to be approximately $14 million in 2026. Following the Spin-Off, NCR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NCR Atleos U.S. pension plan to the extent NCR Atleos contributes more than $40 million on an annual basis beginning with the plan year ending December 31, 2024.</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also have product warranties that may affect future cash flows. These items are not included in the table of obligations shown above, but are described in detail in Note 11, “Commitments and Contingencies”, of the Notes to Consolidated Financial Statements included in Item 8 of Part II of this Report.</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senior secured revolving credit facility contains customary representations and warranties, affirmative covenants, and negative covenants. The negative covenants limit the Company’s and its subsidiaries’ ability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spacing w:after="0" w:line="2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senior secured revolving credit facility also contains a financial covenant that does not permit the Company to allow its consolidated leverage ratio to exceed (i) in the case of any fiscal quarter ending on or following September 30, 2024 and prior to September 30, 2025, 4.50 to 1.00 and (ii)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senior secured revolving credit facility also includes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In connection with the preparation of these financial statements, we are required to make assumptions, estimates and judgments that affect the reported amounts of assets, liabilities, revenue, expenses and the related disclosure of contingent liabilities. These assumptions, estimates and judgments are based on historical experience and are believed to be reasonable at the time. However, because future events and their effects cannot be determined with certainty, the determination of estimates requires the exercise of judgment. Our critical accounting policies are those that require assumptions to be made about matters that are highly uncertain. Different estimates could have a material impact on our financial results. Judgments and uncertainties affecting the application of these policies and estimates may result in materially different amounts being reported under different conditions or circumstances. Our management continually reviews these assumptions, estimates and judgments to ensure that our financial statements are presented fairly and are materially correct.</w:t>
      </w:r>
    </w:p>
    <w:p>
      <w:pPr>
        <w:spacing w:after="0" w:line="20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In many cases, the accounting treatment of a particular transaction is specifically dictated by GAAP and does not require significant management judgment in its application. There are also areas in which management’s judgment in selecting among available alternatives would not produce a materially different result. The significant accounting policies and estimates that we believe are the most critical to aid in fully understanding and evaluating our reported financial results are discussed in the paragraphs below. Our senior management has reviewed these critical accounting estimates and related disclosures with our independent registered public accounting firm and the Audit Committee of our Board of Directors. See Note 1, “Basis of Presentation and Significant Accounting</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620"/>
          </w:cols>
          <w:pgMar w:left="820" w:top="220" w:right="800" w:bottom="0" w:gutter="0" w:footer="0" w:header="0"/>
          <w:type w:val="continuous"/>
        </w:sectPr>
      </w:pPr>
    </w:p>
    <w:bookmarkStart w:id="53" w:name="page54"/>
    <w:bookmarkEnd w:id="53"/>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Policies”, of the Notes to Consolidated Financial Statements in Item 8 of Part II of this Report, which contains additional information regarding our accounting policies and other disclosures required by GAAP.</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Revenue Recognition </w:t>
      </w:r>
      <w:r>
        <w:rPr>
          <w:rFonts w:ascii="Times New Roman" w:cs="Times New Roman" w:eastAsia="Times New Roman" w:hAnsi="Times New Roman"/>
          <w:sz w:val="20"/>
          <w:szCs w:val="20"/>
          <w:color w:val="auto"/>
        </w:rPr>
        <w:t>We enter into contracts to sell our products and services, which may be sold separately or bundled with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products and services. As a result, interpretation and judgment are sometimes required to determine the appropriate accounting for these transactions, including: (1) whether performance obligations are considered distinct that should be accounted for separately versus combined, how the transaction price should be allocated among the performance obligations and when to recognize revenue for each performance obligation; (2) developing an estimate of the stand-alone selling price, or SSP, of each distinct performance obligation; (3) combining multiple contracts that may impact the allocation of the transaction price between product and services; and (4) estimating and accounting for variable consideration, including rights of return, rebates, expected penalties or other price concessions as a reduction of the transaction price.</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estimates of SSP for each performance obligation require judgment that considers multiple factors, including, but not limited to, historical discounting trends for products and services, pricing practices in different geographies and industries, gross margin objectives and internal costs. Our estimates for rights of return and rebates are based on historical sales returns and credits, specific criteria outlined in customer contracts or rebate agreements and other factors known at the time. Our estimates for expected penalties and other price concessions are based on historical trends and expectations regarding future occurrence.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Changes in judgments with respect to these assumptions and estimates could impact the timing or amount of revenue recognition. Additional information regarding our revenue recognition policy is included in Note 1, “Basis of Presentation and Significant Accounting Policies”, in the Notes to Consolidated Financial Statements in Item 8 of Part II of this Report.</w:t>
      </w:r>
    </w:p>
    <w:p>
      <w:pPr>
        <w:spacing w:after="0" w:line="19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Inventory Valuation </w:t>
      </w:r>
      <w:r>
        <w:rPr>
          <w:rFonts w:ascii="Times New Roman" w:cs="Times New Roman" w:eastAsia="Times New Roman" w:hAnsi="Times New Roman"/>
          <w:sz w:val="20"/>
          <w:szCs w:val="20"/>
          <w:color w:val="auto"/>
        </w:rPr>
        <w:t>We assess the valuation of our inventory on a periodic basis and make adjustments to the value to properly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for potential exposure due to slow-moving, excess, obsolete or unusable inventory. Inventories are written down to net realizable value based on forecasted usage of part, sales orders, technological obsolescence and inventory aging. These factors can be impacted by market conditions, technology changes, changes in strategic direction and customer demand and require estimates and management judgment that may include elements that are uncertain. On a quarterly basis, we review the current net realizable value of inventory and adjust for any inventory exposure due to age, obsolescence or excess of cost over net realizable value.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Goodwill </w:t>
      </w:r>
      <w:r>
        <w:rPr>
          <w:rFonts w:ascii="Times New Roman" w:cs="Times New Roman" w:eastAsia="Times New Roman" w:hAnsi="Times New Roman"/>
          <w:sz w:val="20"/>
          <w:szCs w:val="20"/>
          <w:color w:val="auto"/>
        </w:rPr>
        <w:t>Goodwill is tested at the reporting unit level for impairment on an annual basis during the fourth quarter or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frequently if certain events occur indicating that the carrying value of goodwill may be impaired. A significant amount of judgment is involved in determining if an indicator of impairment has occurred. Such indicators may include a decline in expected cash flows, a significant adverse change in legal factors or in the business climate, a decision to sell a business, unanticipated competition or slower growth rates, among others. Consistent with the examples of such events and circumstances given in the accounting guidance, we believe that a goodwill impairment test should be performed immediately before and after a reorganization of our reporting structure when the reorganization would affect the composition of one or more of our reporting units. In this circumstance, performing the impairment test immediately before and after the reorganization would help to confirm that the reorganization is not potentially masking a goodwill impairment charge.</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evaluation of goodwill for impairment,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is determined based on the amount by which the carrying amount exceeds the fair value up to the total value of goodwill assigned to the reporting unit. Fair values of the reporting units are estimated using a weighted methodology considering the output from both the income and market approaches. The income approach incorporates the use of a discounted cash flow (“DCF”) analysis. A number of significant assumptions and estimates are involved in the application of the DCF model to forecast operating cash flows, including revenue growth rates, EBITDA margins and discount rates. Several of these assumptions vary among reporting units. The cash flow forecasts are generally based on approved strategic operating plans. The market approach is performed using the Guideline Public Companies (“GPC”) method which is based on earnings multiple data. We perform a reconciliation between our market capitalization and our estimate of the aggregate fair value of the reporting units, including consideration of a control premium. Refer to Note 4, “Goodwill and Purchased Intangible Assets” in the Notes to Consolidated Financial Statements in Item 8 of Part II of this Report for additional information.</w:t>
      </w:r>
    </w:p>
    <w:p>
      <w:pPr>
        <w:spacing w:after="0" w:line="21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Valuation of Long-lived Assets and Amortizable Other Intangible Assets </w:t>
      </w:r>
      <w:r>
        <w:rPr>
          <w:rFonts w:ascii="Times New Roman" w:cs="Times New Roman" w:eastAsia="Times New Roman" w:hAnsi="Times New Roman"/>
          <w:sz w:val="20"/>
          <w:szCs w:val="20"/>
          <w:color w:val="auto"/>
        </w:rPr>
        <w:t>We perform impairment tests for our long-lived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an event or circumstance indicates that the carrying amount of our long-lived assets may not be recoverable. In response to changes in industry and market conditions, we may also strategically realign our resources and consider restructuring, disposing of,</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620"/>
          </w:cols>
          <w:pgMar w:left="820" w:top="220" w:right="800" w:bottom="0" w:gutter="0" w:footer="0" w:header="0"/>
          <w:type w:val="continuous"/>
        </w:sectPr>
      </w:pPr>
    </w:p>
    <w:bookmarkStart w:id="54" w:name="page55"/>
    <w:bookmarkEnd w:id="54"/>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or otherwise exiting businesses. Such activities could result in impairment of our long-lived assets or other intangible assets. We also are subject to the possibility of impairment of long-lived assets arising in the ordinary course of business. We consider the likelihood of impairment if certain events occur indicating that the carrying value of the long-lived assets may be impaired and we may recognize impairment if the carrying amount of a long-lived asset or intangible asset is not recoverable from its undiscounted cash flows. Impairment is measured as the difference between the carrying amount and the fair value of the asset. We use both the income approach and market approach to estimate fair value. Our estimates of fair value are subject to a high degree of judgment since they include a long-term forecast of future operations. Accordingly, any value ultimately derived from our long-lived assets may differ from our estimate of fair value.</w:t>
      </w:r>
    </w:p>
    <w:p>
      <w:pPr>
        <w:spacing w:after="0" w:line="21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We make strategic acquisitions that may have a material impact on our consolidated results of operations or financial position. We allocate the purchase price of acquired businesses to the assets acquired and liabilities assumed in the transaction at their estimated fair values.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determination of fair value requires estimates about cash flow forecasts, discount rates, revenue growth rates, EBITDA margin, customer attrition rate, and other future events that are judgmental in nature. While we use our best estimates and assumptions as a part of the purchase price allocation process, our estimates are inherently uncertain and subject to refinement. As a result, during the measurement period, which may be up to one year from the acquisition date, we may record adjustments to the assets acquired and liabilities assumed, with the corresponding offset to goodwill. Any adjustments subsequent to the measurement period are recorded to our consolidated statements of income. We are also required to estimate the useful lives of intangible assets to determine the amount of acquisition-related intangible asset amortization expense to record in future periods. Additional information regarding our acquisitions is included in Note 3, “Business Combinations and Divestitures”, in Notes to Consolidated Financial Statements in Item 8 of Part II of this Report.</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Pension and Postemployment Benefits </w:t>
      </w:r>
      <w:r>
        <w:rPr>
          <w:rFonts w:ascii="Times New Roman" w:cs="Times New Roman" w:eastAsia="Times New Roman" w:hAnsi="Times New Roman"/>
          <w:sz w:val="20"/>
          <w:szCs w:val="20"/>
          <w:color w:val="auto"/>
        </w:rPr>
        <w:t>We sponsor foreign defined benefit pension and foreign and domestic postemployment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plans. As a result, we have significant pension and postemployment benefit costs, which are developed from actuarial valuations. Actuarial assumptions attempt to anticipate future events and are used in calculating the expense and liability relating to these plans. These factors include assumptions we make about interest rates, expected investment return on plan assets, involuntary turnover rates, and rates of future compensation increases. In addition, our actuarial consultants advise us about subjective factors such as withdrawal rates and mortality rates to use in our valuations. We generally review and update these assumptions on an annual basis at the end of each fiscal year. We are required to consider current market conditions, including changes in interest rates, in making these assumptions. The actuarial assumptions that we use may differ materially from actual results due to changing market and economic conditions, higher or lower withdrawal rates, or longer or shorter life spans of participants. These differences may result in a significant impact to the amount of pension or postemployment benefits expense we have recorded or may record. Ongoing pension and postemployment expense impacts all of our segments. Pension mark-to-market adjustments, settlements, curtailments and special termination benefits are excluded from our segment results as those items are not included in the evaluation of segment performance. See Note 5, “Segment Information and Concentrations”, in the Notes to Consolidated Financial Statements in Item 8 of Part II of this Report for a reconciliation of our segment results to income from operations.</w:t>
      </w:r>
    </w:p>
    <w:p>
      <w:pPr>
        <w:spacing w:after="0" w:line="21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key assumptions used in developing our 2025 expense were discount rates of 3.4% for our German pension plan and 1.6% for our Japanese pension plan, and an expected return on assets assumption of 5.0% for our Japanese pension plan in 2025. The German and Japanese plans represented 98% of the pension obligation as of December 31, 2025. Holding all other assumptions constant, a 0.25% change in the discount rate used for the German and the Japanese pension plans would have increased or decreased 2025 ongoing pension expense by less than $1 million. A 0.25% change in the expected rate of return on plan assets assumption for the Japanese pension plan would have increased or decreased 2025 ongoing pension expense by less than $1 million. For 2026, we intend to use discount rates of 4.0% in determining the German pension plan and 2.8% in determining the Japanese pension expense. We intend to use an expected rate of return on assets assumption of 5.5% for the Japanese pension plan.</w:t>
      </w:r>
    </w:p>
    <w:p>
      <w:pPr>
        <w:spacing w:after="0" w:line="21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recognize additional changes in the fair value of plan assets and net actuarial gains or losses of our pension plans upon remeasurement, which occurs at least annually in the fourth quarter of each year. The remaining components of pension expense, primarily net service cost, interest cost, and the expected return on plan assets, are recorded on a quarterly basis as ongoing pension expense. While it is required that we review our actuarial assumptions each year at the measurement date, we generally do not change them between measurement dates. We use a measurement date of December 31 for all of our plans. Changes in assumptions or asset values may have a significant effect on the annual measurement of expense or income in the fourth quarter.</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most significant assumption used in developing our 2025 postemployment plan expense is the assumed rate of involuntary turnover of 3.8%. The involuntary turnover rate is based on historical trends and projections of involuntary turnover in the future. A 0.25% change in the rate of involuntary turnover would have increased or decreased 2025 expense by less than $1 million. The</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620"/>
          </w:cols>
          <w:pgMar w:left="820" w:top="220" w:right="800" w:bottom="0" w:gutter="0" w:footer="0" w:header="0"/>
          <w:type w:val="continuous"/>
        </w:sectPr>
      </w:pPr>
    </w:p>
    <w:bookmarkStart w:id="55" w:name="page56"/>
    <w:bookmarkEnd w:id="55"/>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sensitivity of the assumptions described above is specific to each individual plan and not to our pension and postemployment plans in the aggregate. We intend to use an involuntary turnover assumption of 3.8% in determining the 2026 postemployment expense.</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Environmental and Legal Contingencies </w:t>
      </w:r>
      <w:r>
        <w:rPr>
          <w:rFonts w:ascii="Times New Roman" w:cs="Times New Roman" w:eastAsia="Times New Roman" w:hAnsi="Times New Roman"/>
          <w:sz w:val="20"/>
          <w:szCs w:val="20"/>
          <w:color w:val="auto"/>
        </w:rPr>
        <w:t>Each quarter, we review the status of each claim and legal proceeding and assess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potential financial exposure. If the potential loss from any claim or legal proceeding would be material and is considered probable and the amount can be reasonably estimated, we accrue a liability for the estimated loss. To the extent that the amount of such a probable loss is estimable only by reference to a range of equally likely outcomes, and no amount within the range appears to be a better estimate than any other amount, we accrue the amount at the low end of the range. Because of uncertainties related to these matters, the use of estimates, assumptions and judgments, and external factors beyond our control, accruals are based on the best information available at the time. At environmental sites, or portions of environmental sites, where liability is determined to be probable but a remedy has not yet been determined, we accrue for the costs of investigations and studies for the affected areas but not for the costs of remediation. As additional information becomes available, we reassess the potential liability related to our pending claims and litigation and may revise our estimates. Such revisions in the estimates of the potential liabilities could have a material impact on our results of operations and financial position. When insurance carriers or third parties have agreed to pay any amounts related to costs, and we believe that it is probable that we can collect such amounts, those amounts are reflected as receivables in our Consolidated Balance Sheet.</w:t>
      </w:r>
    </w:p>
    <w:p>
      <w:pPr>
        <w:spacing w:after="0" w:line="2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most significant legal contingencies impacting our Company are the Fox River and Kalamazoo River matters, which are further described in detail in Note 11, “Commitments and Contingencies”, in the Notes to Consolidated Financial Statements in Item 8 of Part II of this Report. The Company has been identified as a potentially responsible party (“PRP”) at both the Fox River and Kalamazoo River sites.</w:t>
      </w:r>
    </w:p>
    <w:p>
      <w:pPr>
        <w:spacing w:after="0" w:line="20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As described below and in Note 11, “Commitments and Contingencies”, in the Notes to Consolidated Financial Statements in Item 8 of Part II of this Report, while litigation activities have been concluded with respect to the Fox River matter and regulatory compliance activities have been completed with respect to the Ebina matter, the extent of our potential liabilities continues to be subject to significant uncertainties. The uncertainties related to the Kalamazoo River matter include the total cost of clean-up as well as the solvency and willingness of the co-obligors or indemnitors, and other responsible parties, to pay. As relates to Fox River, uncertainties remain with respect to the final reconciliation of the indemnitors’ payment obligations.</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net reserves for the Fox River matter and the Kalamazoo River matter, as of December 31, 2025 were approximately $23 million and $111 million, respectively, as further discussed in Note 11, “Commitments and Contingencies”, in the Notes to Consolidated Financial Statements in Item 8 of Part II of this Report. The Company regularly re-evaluates the assumptions used in determining the appropriate reserve for these matters as additional information becomes available and, when warranted, makes appropriate adjustments.</w:t>
      </w:r>
    </w:p>
    <w:p>
      <w:pPr>
        <w:spacing w:after="0" w:line="20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Income Taxes </w:t>
      </w:r>
      <w:r>
        <w:rPr>
          <w:rFonts w:ascii="Times New Roman" w:cs="Times New Roman" w:eastAsia="Times New Roman" w:hAnsi="Times New Roman"/>
          <w:sz w:val="20"/>
          <w:szCs w:val="20"/>
          <w:color w:val="auto"/>
        </w:rPr>
        <w:t>We recognize deferred tax assets and liabilities based on the differences between the financial statement carrying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amounts and the tax basis of assets and liabilities. The deferred tax assets and liabilities are determined based on the enacted tax rates expected to apply in the periods in which the deferred tax assets or liabilities are anticipated to be settled or realized.</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regularly review our deferred tax assets for recoverability and establish a valuation allowance if it is more likely than not that some portion or all of a deferred tax asset will not be realized. The determination as to whether a deferred tax asset will be realized is made on a jurisdictional basis and is based on the evaluation of positive and negative evidence. This evidence includes historical taxable income, projected future taxable income, the expected timing of the reversal of existing temporary differences and the implementation of tax planning strategies. Projected future taxable income is based on our expected results and assumptions as to the jurisdiction in which the income will be earned. The expected timing of the reversals of existing temporary differences is based on current tax law and our tax methods of accounting. As a result of this determination, we had valuation allowances of $181 million as of December 31, 2025 and $153 million as of December 31, 2024, related to certain deferred income tax assets, tax loss carryforwards, including interest expense carryforwards and foreign tax credits in jurisdictions where there is uncertainty as to the ultimate realization of a benefit from those tax assets.</w:t>
      </w:r>
    </w:p>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If we are unable to generate sufficient future taxable income, or if there is a material change in the actual effective tax rates or the time period within which the underlying temporary differences become taxable or deductible, or if the tax laws change unfavorably, then we could be required to increase our valuation allowance against our deferred tax assets, resulting in an increase in our effective tax rate.</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fifty percent</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620"/>
          </w:cols>
          <w:pgMar w:left="820" w:top="220" w:right="800" w:bottom="0" w:gutter="0" w:footer="0" w:header="0"/>
          <w:type w:val="continuous"/>
        </w:sectPr>
      </w:pPr>
    </w:p>
    <w:bookmarkStart w:id="56" w:name="page57"/>
    <w:bookmarkEnd w:id="56"/>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likelihood of being realized upon settlement. Interest and penalties related to uncertain tax positions are recognized as part of the provision for income taxes and are accrued beginning in the period that such interest and penalties would be applicable under relevant tax law until such time that the related tax benefits are recognized. As described in Note 1, “Basis of Presentation and Significant Accounting Policies” and Note 8, “Income Taxes”, in the Notes to Consolidated Financial Statements in Item 8 of Part II of this Report for disclosures, on October 16, 2023, in connection with the Spin-Off, the Company completed a series of legal entity restructurings including both an internal and external spin-off transaction. These transactions are subject to tax laws in the U.S. and non-U.S. jurisdictions, which resulted in the use of significant judgments by management as it pertains to the interpretation and application of tax laws in the U.S. and non-U.S. jurisdictions to determine the potential taxability of the transactions.</w:t>
      </w:r>
    </w:p>
    <w:p>
      <w:pPr>
        <w:spacing w:after="0" w:line="21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provision for income taxes may change period-to-period based on non-recurring events, such as the settlement of income tax audits and changes in tax laws, as well as recurring factors including the geographic mix of income before taxes, state and local taxes and the effects of various global income tax strategies. As of December 31, 2025, we did not provide for U.S. income tax or foreign withholding taxes on undistributed earnings of certain foreign subsidiaries as such earnings are expected to be reinvested indefinitely. The amount of unrecognized deferred tax liability associated with these indefinitely reinvested earnings is approximately $27 million.</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Refer to Note 8, “Income Taxes”, in the Notes to Consolidated Financial Statements in Item 8 of Part II of this Report for disclosures related to foreign and domestic pretax income, foreign and domestic income tax (benefit) expense and the effect foreign taxes have on our overall effective tax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 discussion of recently issued accounting pronouncements is described in Note 1, “Basis of Presentation and Significant Accounting Policies”, of the Notes to Consolidated Financial Statements in Item 8 of Part II of this Report, and we incorporate by reference such discussion in this MD&amp;A.</w:t>
      </w:r>
    </w:p>
    <w:p>
      <w:pPr>
        <w:spacing w:after="0" w:line="18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20"/>
          <w:szCs w:val="20"/>
          <w:b w:val="1"/>
          <w:bCs w:val="1"/>
          <w:color w:val="auto"/>
        </w:rPr>
        <w:t>QUANTITATIVE AND QUALITATIVE DISCLOSURES ABOUT MARKET RISK</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are exposed to market risks primarily from changes in foreign currency exchange rates and interest rates. It is our policy to manage our foreign exchange exposure and debt structure in order to manage capital costs, control financial risks and maintain financial flexibility over the long term. In managing market risks, we may employ derivatives according to documented policies and procedures, including foreign currency contracts and interest rate swaps. We do not use derivatives for trading or speculative purposes.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Exchange Risk</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Since a portion of our operations and revenue occur outside the United States, and in currencies other than the U.S. Dollar, our results can be significantly impacted by changes in foreign currency exchange rates. We have exposure to approximately 25 functional currencies and are exposed to foreign currency exchange risk with respect to our sales, profits and assets and liabilities denominated in currencies other than the U.S. Dollar. Although we use financial instruments to hedge certain foreign currency risks, we are not fully protected against foreign currency fluctuations and our reported results of operations could be affected by changes in foreign currency exchange rates. To manage our exposures and mitigate the impact of currency fluctuations on the operations of our foreign subsidiaries, we hedge our main transactional exposures. We use derivatives not designated as hedging instruments consisting primarily of forward contracts to hedge foreign currency denominated balance sheet exposures. For these derivatives we recognize gains and losses in the same period as the remeasurement losses and gains of the related foreign currency-denominated exposures.</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For purposes of analyzing potential risk, we use sensitivity analysis to quantify potential impacts that market rate changes may have on the fair values of our hedge portfolio. The sensitivity analysis represents the hypothetical changes in value of the hedge position and does not reflect the related gain or loss on the forecasted underlying transaction. A 10% appreciation in the value of the U.S. Dollar against foreign currencies from the prevailing market rates would have resulted in a corresponding decrease in the fair value of the hedge portfolio of $7 million as of December 31, 2025. A 10% depreciation in the value of the U.S. Dollar against foreign currencies from the prevailing market rates would have resulted in a corresponding increase in the fair value of the hedge portfolio of $9 million as of December 31, 2025. The Company expects that any increase or decrease in the fair value of the portfolio would be substantially offset by increases or decreases in the underlying exposures being hedged.</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620"/>
          </w:cols>
          <w:pgMar w:left="820" w:top="220" w:right="800" w:bottom="0" w:gutter="0" w:footer="0" w:header="0"/>
          <w:type w:val="continuous"/>
        </w:sectPr>
      </w:pPr>
    </w:p>
    <w:bookmarkStart w:id="57" w:name="page58"/>
    <w:bookmarkEnd w:id="57"/>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U.S. Dollar was stronger in 2025 compared to 2024 based on comparable weighted averages for our functional currencies. This had an unfavorable revenue impact of less than 1% on 2025 compared to 2024. This excludes the effects of our hedging activities and, therefore, does not reflect the actual impact of fluctuations in exchange rates on our operating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Approximately 100% of our borrowings were on a fixed rate basis as of December 31, 2025 and we did not have any outstanding interest rate derivative contracts as of December 31, 2025. We are subject to interest rate risk related to variable-rate debt when we borrow from our Revolving Credit Facility. As of December 31, 2025, we had no borrowings under the facility.</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increase in pre-tax interest expense for the year ended December 31, 2025 from a hypothetical 100 basis point increase in variable interest rates would be less than $1 million.</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Historically, we utilized interest rate swap contracts and interest rate cap agreements to add stability to interest expense and to manage exposure to interest rate movements as part of our interest rate risk management strategy. Payments and receipts related to interest rate cap agreements and interest rate swap contracts are included in cash flows from operating activities in the Consolidated Statements of Cash Flows. Refer to Note 15, “Derivatives and Hedging Instruments”, for further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balance sheet. Exposure to credit risk is managed through credit approvals, credit limits, selecting major international financial institutions as counterparties to hedging transactions, and monitoring procedures. Our business often involves large transactions with customers for which we do not require collateral. If one or more of those customers were to default in its obligations under applicable contractual arrangements, we could be exposed to potentially significant losses. Moreover, a prolonged downturn in the global economy could have an adverse impact on the ability of our customers to pay their obligations on a timely basis. We believe that the reserves for potential losses are adequate. As of December 31, 2025, we did not have any significant concentration of credit risk related to financial instruments.</w:t>
      </w:r>
    </w:p>
    <w:p>
      <w:pPr>
        <w:sectPr>
          <w:pgSz w:w="12240" w:h="15840" w:orient="portrait"/>
          <w:cols w:equalWidth="0" w:num="1">
            <w:col w:w="10600"/>
          </w:cols>
          <w:pgMar w:left="820" w:top="2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600"/>
          </w:cols>
          <w:pgMar w:left="820" w:top="220" w:right="82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Index to Financial Statements and Supplemental Data</w:t>
      </w: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230"/>
        </w:trPr>
        <w:tc>
          <w:tcPr>
            <w:tcW w:w="876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[PCAOB ID </w:t>
            </w:r>
            <w:r>
              <w:rPr>
                <w:rFonts w:ascii="Times New Roman" w:cs="Times New Roman" w:eastAsia="Times New Roman" w:hAnsi="Times New Roman"/>
                <w:sz w:val="20"/>
                <w:szCs w:val="20"/>
                <w:color w:val="3051F2"/>
              </w:rPr>
              <w:t>238</w:t>
            </w:r>
            <w:r>
              <w:rPr>
                <w:rFonts w:ascii="Times New Roman" w:cs="Times New Roman" w:eastAsia="Times New Roman" w:hAnsi="Times New Roman"/>
                <w:sz w:val="20"/>
                <w:szCs w:val="20"/>
                <w:color w:val="0000FF"/>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55</w:t>
            </w:r>
          </w:p>
        </w:tc>
      </w:tr>
      <w:tr>
        <w:trPr>
          <w:trHeight w:val="235"/>
        </w:trPr>
        <w:tc>
          <w:tcPr>
            <w:tcW w:w="31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w:t>
            </w:r>
          </w:p>
        </w:tc>
        <w:tc>
          <w:tcPr>
            <w:tcW w:w="2640" w:type="dxa"/>
            <w:vAlign w:val="bottom"/>
            <w:tcBorders>
              <w:top w:val="single" w:sz="8" w:color="0000FF"/>
            </w:tcBorders>
            <w:gridSpan w:val="12"/>
          </w:tcPr>
          <w:p>
            <w:pPr>
              <w:spacing w:after="0"/>
              <w:rPr>
                <w:sz w:val="20"/>
                <w:szCs w:val="20"/>
                <w:color w:val="auto"/>
              </w:rPr>
            </w:pPr>
          </w:p>
        </w:tc>
        <w:tc>
          <w:tcPr>
            <w:tcW w:w="300" w:type="dxa"/>
            <w:vAlign w:val="bottom"/>
            <w:tcBorders>
              <w:top w:val="single" w:sz="8" w:color="3051F2"/>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57</w:t>
            </w:r>
          </w:p>
        </w:tc>
      </w:tr>
      <w:tr>
        <w:trPr>
          <w:trHeight w:val="235"/>
        </w:trPr>
        <w:tc>
          <w:tcPr>
            <w:tcW w:w="47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9"/>
              </w:rPr>
              <w:t>Consolidated Statements of Comprehensive Income (Loss)</w:t>
            </w:r>
          </w:p>
        </w:tc>
        <w:tc>
          <w:tcPr>
            <w:tcW w:w="4040" w:type="dxa"/>
            <w:vAlign w:val="bottom"/>
            <w:gridSpan w:val="6"/>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58</w:t>
            </w:r>
          </w:p>
        </w:tc>
      </w:tr>
      <w:tr>
        <w:trPr>
          <w:trHeight w:val="235"/>
        </w:trPr>
        <w:tc>
          <w:tcPr>
            <w:tcW w:w="876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59</w:t>
            </w:r>
          </w:p>
        </w:tc>
      </w:tr>
      <w:tr>
        <w:trPr>
          <w:trHeight w:val="20"/>
        </w:trPr>
        <w:tc>
          <w:tcPr>
            <w:tcW w:w="3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35"/>
        </w:trPr>
        <w:tc>
          <w:tcPr>
            <w:tcW w:w="32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Consolidated Statements of Cash Flows</w:t>
            </w:r>
          </w:p>
        </w:tc>
        <w:tc>
          <w:tcPr>
            <w:tcW w:w="5560" w:type="dxa"/>
            <w:vAlign w:val="bottom"/>
            <w:gridSpan w:val="14"/>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60</w:t>
            </w:r>
          </w:p>
        </w:tc>
      </w:tr>
      <w:tr>
        <w:trPr>
          <w:trHeight w:val="235"/>
        </w:trPr>
        <w:tc>
          <w:tcPr>
            <w:tcW w:w="49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9"/>
              </w:rPr>
              <w:t>Consolidated Statements of Changes in Stockholders’ Equity</w:t>
            </w:r>
          </w:p>
        </w:tc>
        <w:tc>
          <w:tcPr>
            <w:tcW w:w="3860" w:type="dxa"/>
            <w:vAlign w:val="bottom"/>
            <w:gridSpan w:val="5"/>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61</w:t>
            </w:r>
          </w:p>
        </w:tc>
      </w:tr>
      <w:tr>
        <w:trPr>
          <w:trHeight w:val="235"/>
        </w:trPr>
        <w:tc>
          <w:tcPr>
            <w:tcW w:w="876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62</w:t>
            </w:r>
          </w:p>
        </w:tc>
      </w:tr>
      <w:tr>
        <w:trPr>
          <w:trHeight w:val="20"/>
        </w:trPr>
        <w:tc>
          <w:tcPr>
            <w:tcW w:w="3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35"/>
        </w:trPr>
        <w:tc>
          <w:tcPr>
            <w:tcW w:w="360" w:type="dxa"/>
            <w:vAlign w:val="bottom"/>
          </w:tcPr>
          <w:p>
            <w:pPr>
              <w:spacing w:after="0"/>
              <w:rPr>
                <w:sz w:val="20"/>
                <w:szCs w:val="20"/>
                <w:color w:val="auto"/>
              </w:rPr>
            </w:pPr>
          </w:p>
        </w:tc>
        <w:tc>
          <w:tcPr>
            <w:tcW w:w="84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Note 1. Basis of Presentation and Significant Accounting Policies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62</w:t>
            </w:r>
          </w:p>
        </w:tc>
      </w:tr>
      <w:tr>
        <w:trPr>
          <w:trHeight w:val="235"/>
        </w:trPr>
        <w:tc>
          <w:tcPr>
            <w:tcW w:w="360" w:type="dxa"/>
            <w:vAlign w:val="bottom"/>
          </w:tcPr>
          <w:p>
            <w:pPr>
              <w:spacing w:after="0"/>
              <w:rPr>
                <w:sz w:val="20"/>
                <w:szCs w:val="20"/>
                <w:color w:val="auto"/>
              </w:rPr>
            </w:pPr>
          </w:p>
        </w:tc>
        <w:tc>
          <w:tcPr>
            <w:tcW w:w="26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Note 2. Discontinued Operations</w:t>
            </w:r>
          </w:p>
        </w:tc>
        <w:tc>
          <w:tcPr>
            <w:tcW w:w="2620" w:type="dxa"/>
            <w:vAlign w:val="bottom"/>
            <w:tcBorders>
              <w:top w:val="single" w:sz="8" w:color="0000FF"/>
            </w:tcBorders>
            <w:gridSpan w:val="15"/>
          </w:tcPr>
          <w:p>
            <w:pPr>
              <w:spacing w:after="0"/>
              <w:rPr>
                <w:sz w:val="20"/>
                <w:szCs w:val="20"/>
                <w:color w:val="auto"/>
              </w:rPr>
            </w:pPr>
          </w:p>
        </w:tc>
        <w:tc>
          <w:tcPr>
            <w:tcW w:w="3140" w:type="dxa"/>
            <w:vAlign w:val="bottom"/>
            <w:gridSpan w:val="4"/>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74</w:t>
            </w:r>
          </w:p>
        </w:tc>
      </w:tr>
      <w:tr>
        <w:trPr>
          <w:trHeight w:val="235"/>
        </w:trPr>
        <w:tc>
          <w:tcPr>
            <w:tcW w:w="360" w:type="dxa"/>
            <w:vAlign w:val="bottom"/>
          </w:tcPr>
          <w:p>
            <w:pPr>
              <w:spacing w:after="0"/>
              <w:rPr>
                <w:sz w:val="20"/>
                <w:szCs w:val="20"/>
                <w:color w:val="auto"/>
              </w:rPr>
            </w:pPr>
          </w:p>
        </w:tc>
        <w:tc>
          <w:tcPr>
            <w:tcW w:w="84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Note 3. Business Combinations and Divestitures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76</w:t>
            </w:r>
          </w:p>
        </w:tc>
      </w:tr>
      <w:tr>
        <w:trPr>
          <w:trHeight w:val="20"/>
        </w:trPr>
        <w:tc>
          <w:tcPr>
            <w:tcW w:w="3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35"/>
        </w:trPr>
        <w:tc>
          <w:tcPr>
            <w:tcW w:w="360" w:type="dxa"/>
            <w:vAlign w:val="bottom"/>
          </w:tcPr>
          <w:p>
            <w:pPr>
              <w:spacing w:after="0"/>
              <w:rPr>
                <w:sz w:val="20"/>
                <w:szCs w:val="20"/>
                <w:color w:val="auto"/>
              </w:rPr>
            </w:pPr>
          </w:p>
        </w:tc>
        <w:tc>
          <w:tcPr>
            <w:tcW w:w="84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Note 4. Goodwill and Purchased Intangible Assets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76</w:t>
            </w:r>
          </w:p>
        </w:tc>
      </w:tr>
      <w:tr>
        <w:trPr>
          <w:trHeight w:val="235"/>
        </w:trPr>
        <w:tc>
          <w:tcPr>
            <w:tcW w:w="360" w:type="dxa"/>
            <w:vAlign w:val="bottom"/>
          </w:tcPr>
          <w:p>
            <w:pPr>
              <w:spacing w:after="0"/>
              <w:rPr>
                <w:sz w:val="20"/>
                <w:szCs w:val="20"/>
                <w:color w:val="auto"/>
              </w:rPr>
            </w:pPr>
          </w:p>
        </w:tc>
        <w:tc>
          <w:tcPr>
            <w:tcW w:w="40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Note 5. Segment Information</w:t>
            </w:r>
          </w:p>
        </w:tc>
        <w:tc>
          <w:tcPr>
            <w:tcW w:w="4360" w:type="dxa"/>
            <w:vAlign w:val="bottom"/>
            <w:gridSpan w:val="8"/>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77</w:t>
            </w:r>
          </w:p>
        </w:tc>
      </w:tr>
      <w:tr>
        <w:trPr>
          <w:trHeight w:val="235"/>
        </w:trPr>
        <w:tc>
          <w:tcPr>
            <w:tcW w:w="360" w:type="dxa"/>
            <w:vAlign w:val="bottom"/>
          </w:tcPr>
          <w:p>
            <w:pPr>
              <w:spacing w:after="0"/>
              <w:rPr>
                <w:sz w:val="20"/>
                <w:szCs w:val="20"/>
                <w:color w:val="auto"/>
              </w:rPr>
            </w:pPr>
          </w:p>
        </w:tc>
        <w:tc>
          <w:tcPr>
            <w:tcW w:w="20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Note 6. Debt Obligations</w:t>
            </w:r>
          </w:p>
        </w:tc>
        <w:tc>
          <w:tcPr>
            <w:tcW w:w="320" w:type="dxa"/>
            <w:vAlign w:val="bottom"/>
            <w:tcBorders>
              <w:top w:val="single" w:sz="8" w:color="0000FF"/>
            </w:tcBorders>
            <w:gridSpan w:val="2"/>
          </w:tcPr>
          <w:p>
            <w:pPr>
              <w:spacing w:after="0"/>
              <w:rPr>
                <w:sz w:val="20"/>
                <w:szCs w:val="20"/>
                <w:color w:val="auto"/>
              </w:rPr>
            </w:pPr>
          </w:p>
        </w:tc>
        <w:tc>
          <w:tcPr>
            <w:tcW w:w="6060" w:type="dxa"/>
            <w:vAlign w:val="bottom"/>
            <w:gridSpan w:val="20"/>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80</w:t>
            </w:r>
          </w:p>
        </w:tc>
      </w:tr>
      <w:tr>
        <w:trPr>
          <w:trHeight w:val="235"/>
        </w:trPr>
        <w:tc>
          <w:tcPr>
            <w:tcW w:w="360" w:type="dxa"/>
            <w:vAlign w:val="bottom"/>
          </w:tcPr>
          <w:p>
            <w:pPr>
              <w:spacing w:after="0"/>
              <w:rPr>
                <w:sz w:val="20"/>
                <w:szCs w:val="20"/>
                <w:color w:val="auto"/>
              </w:rPr>
            </w:pPr>
          </w:p>
        </w:tc>
        <w:tc>
          <w:tcPr>
            <w:tcW w:w="84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Note 7. Trade Receivable Facility</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82</w:t>
            </w:r>
          </w:p>
        </w:tc>
      </w:tr>
      <w:tr>
        <w:trPr>
          <w:trHeight w:val="235"/>
        </w:trPr>
        <w:tc>
          <w:tcPr>
            <w:tcW w:w="36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Note 8. Income Taxes</w:t>
            </w:r>
          </w:p>
        </w:tc>
        <w:tc>
          <w:tcPr>
            <w:tcW w:w="920" w:type="dxa"/>
            <w:vAlign w:val="bottom"/>
            <w:tcBorders>
              <w:top w:val="single" w:sz="8" w:color="0000FF"/>
            </w:tcBorders>
            <w:gridSpan w:val="7"/>
          </w:tcPr>
          <w:p>
            <w:pPr>
              <w:spacing w:after="0"/>
              <w:rPr>
                <w:sz w:val="20"/>
                <w:szCs w:val="20"/>
                <w:color w:val="auto"/>
              </w:rPr>
            </w:pPr>
          </w:p>
        </w:tc>
        <w:tc>
          <w:tcPr>
            <w:tcW w:w="5700" w:type="dxa"/>
            <w:vAlign w:val="bottom"/>
            <w:gridSpan w:val="17"/>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83</w:t>
            </w:r>
          </w:p>
        </w:tc>
      </w:tr>
      <w:tr>
        <w:trPr>
          <w:trHeight w:val="235"/>
        </w:trPr>
        <w:tc>
          <w:tcPr>
            <w:tcW w:w="360" w:type="dxa"/>
            <w:vAlign w:val="bottom"/>
          </w:tcPr>
          <w:p>
            <w:pPr>
              <w:spacing w:after="0"/>
              <w:rPr>
                <w:sz w:val="20"/>
                <w:szCs w:val="20"/>
                <w:color w:val="auto"/>
              </w:rPr>
            </w:pPr>
          </w:p>
        </w:tc>
        <w:tc>
          <w:tcPr>
            <w:tcW w:w="84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Note 9. Stock Compensation Plans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88</w:t>
            </w:r>
          </w:p>
        </w:tc>
      </w:tr>
      <w:tr>
        <w:trPr>
          <w:trHeight w:val="235"/>
        </w:trPr>
        <w:tc>
          <w:tcPr>
            <w:tcW w:w="360" w:type="dxa"/>
            <w:vAlign w:val="bottom"/>
          </w:tcPr>
          <w:p>
            <w:pPr>
              <w:spacing w:after="0"/>
              <w:rPr>
                <w:sz w:val="20"/>
                <w:szCs w:val="20"/>
                <w:color w:val="auto"/>
              </w:rPr>
            </w:pPr>
          </w:p>
        </w:tc>
        <w:tc>
          <w:tcPr>
            <w:tcW w:w="26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Note 10. Employee Benefit Plans</w:t>
            </w:r>
          </w:p>
        </w:tc>
        <w:tc>
          <w:tcPr>
            <w:tcW w:w="100" w:type="dxa"/>
            <w:vAlign w:val="bottom"/>
            <w:tcBorders>
              <w:top w:val="single" w:sz="8" w:color="0000FF"/>
            </w:tcBorders>
            <w:gridSpan w:val="3"/>
          </w:tcPr>
          <w:p>
            <w:pPr>
              <w:spacing w:after="0"/>
              <w:rPr>
                <w:sz w:val="20"/>
                <w:szCs w:val="20"/>
                <w:color w:val="auto"/>
              </w:rPr>
            </w:pPr>
          </w:p>
        </w:tc>
        <w:tc>
          <w:tcPr>
            <w:tcW w:w="5620" w:type="dxa"/>
            <w:vAlign w:val="bottom"/>
            <w:gridSpan w:val="15"/>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92</w:t>
            </w:r>
          </w:p>
        </w:tc>
      </w:tr>
      <w:tr>
        <w:trPr>
          <w:trHeight w:val="235"/>
        </w:trPr>
        <w:tc>
          <w:tcPr>
            <w:tcW w:w="360" w:type="dxa"/>
            <w:vAlign w:val="bottom"/>
          </w:tcPr>
          <w:p>
            <w:pPr>
              <w:spacing w:after="0"/>
              <w:rPr>
                <w:sz w:val="20"/>
                <w:szCs w:val="20"/>
                <w:color w:val="auto"/>
              </w:rPr>
            </w:pPr>
          </w:p>
        </w:tc>
        <w:tc>
          <w:tcPr>
            <w:tcW w:w="84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Note 11. Commitments and Contingencies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rPr>
              <w:t>97</w:t>
            </w:r>
          </w:p>
        </w:tc>
      </w:tr>
      <w:tr>
        <w:trPr>
          <w:trHeight w:val="20"/>
        </w:trPr>
        <w:tc>
          <w:tcPr>
            <w:tcW w:w="3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235"/>
        </w:trPr>
        <w:tc>
          <w:tcPr>
            <w:tcW w:w="360" w:type="dxa"/>
            <w:vAlign w:val="bottom"/>
          </w:tcPr>
          <w:p>
            <w:pPr>
              <w:spacing w:after="0"/>
              <w:rPr>
                <w:sz w:val="20"/>
                <w:szCs w:val="20"/>
                <w:color w:val="auto"/>
              </w:rPr>
            </w:pPr>
          </w:p>
        </w:tc>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9"/>
              </w:rPr>
              <w:t>Note 12. Leasing</w:t>
            </w:r>
          </w:p>
        </w:tc>
        <w:tc>
          <w:tcPr>
            <w:tcW w:w="2020" w:type="dxa"/>
            <w:vAlign w:val="bottom"/>
            <w:gridSpan w:val="13"/>
          </w:tcPr>
          <w:p>
            <w:pPr>
              <w:spacing w:after="0"/>
              <w:rPr>
                <w:sz w:val="20"/>
                <w:szCs w:val="20"/>
                <w:color w:val="auto"/>
              </w:rPr>
            </w:pPr>
          </w:p>
        </w:tc>
        <w:tc>
          <w:tcPr>
            <w:tcW w:w="5000" w:type="dxa"/>
            <w:vAlign w:val="bottom"/>
            <w:gridSpan w:val="12"/>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102</w:t>
            </w:r>
          </w:p>
        </w:tc>
      </w:tr>
      <w:tr>
        <w:trPr>
          <w:trHeight w:val="235"/>
        </w:trPr>
        <w:tc>
          <w:tcPr>
            <w:tcW w:w="360" w:type="dxa"/>
            <w:vAlign w:val="bottom"/>
          </w:tcPr>
          <w:p>
            <w:pPr>
              <w:spacing w:after="0"/>
              <w:rPr>
                <w:sz w:val="20"/>
                <w:szCs w:val="20"/>
                <w:color w:val="auto"/>
              </w:rPr>
            </w:pPr>
          </w:p>
        </w:tc>
        <w:tc>
          <w:tcPr>
            <w:tcW w:w="84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Note 13. Series A Preferred Stock</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w w:val="99"/>
              </w:rPr>
              <w:t>104</w:t>
            </w:r>
          </w:p>
        </w:tc>
      </w:tr>
      <w:tr>
        <w:trPr>
          <w:trHeight w:val="235"/>
        </w:trPr>
        <w:tc>
          <w:tcPr>
            <w:tcW w:w="360" w:type="dxa"/>
            <w:vAlign w:val="bottom"/>
          </w:tcPr>
          <w:p>
            <w:pPr>
              <w:spacing w:after="0"/>
              <w:rPr>
                <w:sz w:val="20"/>
                <w:szCs w:val="20"/>
                <w:color w:val="auto"/>
              </w:rPr>
            </w:pPr>
          </w:p>
        </w:tc>
        <w:tc>
          <w:tcPr>
            <w:tcW w:w="22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Note 14. Earnings Per Share</w:t>
            </w:r>
          </w:p>
        </w:tc>
        <w:tc>
          <w:tcPr>
            <w:tcW w:w="440" w:type="dxa"/>
            <w:vAlign w:val="bottom"/>
            <w:tcBorders>
              <w:top w:val="single" w:sz="8" w:color="0000FF"/>
            </w:tcBorders>
            <w:gridSpan w:val="5"/>
          </w:tcPr>
          <w:p>
            <w:pPr>
              <w:spacing w:after="0"/>
              <w:rPr>
                <w:sz w:val="20"/>
                <w:szCs w:val="20"/>
                <w:color w:val="auto"/>
              </w:rPr>
            </w:pPr>
          </w:p>
        </w:tc>
        <w:tc>
          <w:tcPr>
            <w:tcW w:w="5680" w:type="dxa"/>
            <w:vAlign w:val="bottom"/>
            <w:gridSpan w:val="16"/>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106</w:t>
            </w:r>
          </w:p>
        </w:tc>
      </w:tr>
      <w:tr>
        <w:trPr>
          <w:trHeight w:val="235"/>
        </w:trPr>
        <w:tc>
          <w:tcPr>
            <w:tcW w:w="360" w:type="dxa"/>
            <w:vAlign w:val="bottom"/>
          </w:tcPr>
          <w:p>
            <w:pPr>
              <w:spacing w:after="0"/>
              <w:rPr>
                <w:sz w:val="20"/>
                <w:szCs w:val="20"/>
                <w:color w:val="auto"/>
              </w:rPr>
            </w:pPr>
          </w:p>
        </w:tc>
        <w:tc>
          <w:tcPr>
            <w:tcW w:w="3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Note 15. Derivatives and Hedging Instruments</w:t>
            </w:r>
          </w:p>
        </w:tc>
        <w:tc>
          <w:tcPr>
            <w:tcW w:w="4660" w:type="dxa"/>
            <w:vAlign w:val="bottom"/>
            <w:gridSpan w:val="10"/>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108</w:t>
            </w:r>
          </w:p>
        </w:tc>
      </w:tr>
      <w:tr>
        <w:trPr>
          <w:trHeight w:val="235"/>
        </w:trPr>
        <w:tc>
          <w:tcPr>
            <w:tcW w:w="360" w:type="dxa"/>
            <w:vAlign w:val="bottom"/>
          </w:tcPr>
          <w:p>
            <w:pPr>
              <w:spacing w:after="0"/>
              <w:rPr>
                <w:sz w:val="20"/>
                <w:szCs w:val="20"/>
                <w:color w:val="auto"/>
              </w:rPr>
            </w:pPr>
          </w:p>
        </w:tc>
        <w:tc>
          <w:tcPr>
            <w:tcW w:w="84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Note 16. Accumulated Other Comprehensive Income</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0000FF"/>
                <w:w w:val="99"/>
              </w:rPr>
              <w:t>110</w:t>
            </w:r>
          </w:p>
        </w:tc>
      </w:tr>
      <w:tr>
        <w:trPr>
          <w:trHeight w:val="235"/>
        </w:trPr>
        <w:tc>
          <w:tcPr>
            <w:tcW w:w="360" w:type="dxa"/>
            <w:vAlign w:val="bottom"/>
          </w:tcPr>
          <w:p>
            <w:pPr>
              <w:spacing w:after="0"/>
              <w:rPr>
                <w:sz w:val="20"/>
                <w:szCs w:val="20"/>
                <w:color w:val="auto"/>
              </w:rPr>
            </w:pPr>
          </w:p>
        </w:tc>
        <w:tc>
          <w:tcPr>
            <w:tcW w:w="42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rPr>
              <w:t>Note 17. Supplemental Financial Information</w:t>
            </w:r>
          </w:p>
        </w:tc>
        <w:tc>
          <w:tcPr>
            <w:tcW w:w="4140" w:type="dxa"/>
            <w:vAlign w:val="bottom"/>
            <w:gridSpan w:val="7"/>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3"/>
              </w:rPr>
              <w:t>111</w:t>
            </w:r>
          </w:p>
        </w:tc>
      </w:tr>
      <w:tr>
        <w:trPr>
          <w:trHeight w:val="20"/>
        </w:trPr>
        <w:tc>
          <w:tcPr>
            <w:tcW w:w="36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800"/>
          </w:cols>
          <w:pgMar w:left="1000" w:top="2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800"/>
          </w:cols>
          <w:pgMar w:left="1000" w:top="220" w:right="1440" w:bottom="0" w:gutter="0" w:footer="0" w:header="0"/>
          <w:type w:val="continuous"/>
        </w:sectPr>
      </w:pPr>
    </w:p>
    <w:bookmarkStart w:id="59" w:name="page60"/>
    <w:bookmarkEnd w:id="59"/>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SUPPLEMENTAL DATA</w:t>
      </w:r>
    </w:p>
    <w:p>
      <w:pPr>
        <w:spacing w:after="0" w:line="25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NCR Voyix Corporation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25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the consolidated financial statements, including the related notes, as listed in the index appearing under Item 15(a)(1), and the financial statement schedule listed in the index appearing under Item 15(a)(2), of NCR Voyix Corporation and its subsidiaries (the “Company”)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20"/>
          <w:szCs w:val="20"/>
          <w:b w:val="1"/>
          <w:bCs w:val="1"/>
          <w:i w:val="1"/>
          <w:iCs w:val="1"/>
          <w:color w:val="auto"/>
        </w:rPr>
        <w:t>Internal Control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Integrated Framework </w:t>
      </w:r>
      <w:r>
        <w:rPr>
          <w:rFonts w:ascii="Times New Roman" w:cs="Times New Roman" w:eastAsia="Times New Roman" w:hAnsi="Times New Roman"/>
          <w:sz w:val="20"/>
          <w:szCs w:val="20"/>
          <w:color w:val="auto"/>
        </w:rPr>
        <w:t>(2013) issued by the Committee of Sponsoring Organizations of the Treadway Commission (COSO).</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b w:val="1"/>
          <w:bCs w:val="1"/>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25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620"/>
          </w:cols>
          <w:pgMar w:left="820" w:top="220" w:right="800" w:bottom="0" w:gutter="0" w:footer="0" w:header="0"/>
          <w:type w:val="continuous"/>
        </w:sectPr>
      </w:pPr>
    </w:p>
    <w:bookmarkStart w:id="60" w:name="page61"/>
    <w:bookmarkEnd w:id="60"/>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As described in Notes 1 and 5 to the consolidated financial statements, the Company’s consolidated total revenue was $2.7 billion for the year ended December 31, 2025. Revenue is recognized, net of sales tax, when the Company transfers control of promised products and services to customers in an amount that reflects the consideration the Company expects to receive in exchange for those products and services. The Company enters into contracts that include multiple distinct performance obligations consisting of both products and services. For these arrangements, the Company allocates the transaction price, at contract inception, to each distinct performance obligation on a relative standalone selling price basis.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revenue recognition is a critical audit matter are a high degree of auditor effort in performing procedures and evaluating audit evidence related to the Company’s revenue recognition.</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for a sample of revenue transactions (i) testing revenue recognized by obtaining and inspecting source documents, such as contracts, purchase orders, invoices, and proof of shipment, delivery or service; (ii) testing management’s allocation of the transaction price to identified performance obligations; and (iii) recalculating revenue recognized. The procedures performed also included (i) testing the completeness and accuracy of the data used by management in the determination of the standalone selling price and (ii) testing a sample of outstanding customer invoice balances as of December 31, 2025 by obtaining and inspecting subsequent cash receipts and, for invoices not yet paid, obtaining and inspecting source documents, such as contracts, purchase orders, invoices, and proof of shipment, delivery or service.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Atlanta, Georgia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1993.</w:t>
      </w:r>
    </w:p>
    <w:p>
      <w:pPr>
        <w:sectPr>
          <w:pgSz w:w="12240" w:h="15840" w:orient="portrait"/>
          <w:cols w:equalWidth="0" w:num="1">
            <w:col w:w="10600"/>
          </w:cols>
          <w:pgMar w:left="820" w:top="2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600"/>
          </w:cols>
          <w:pgMar w:left="820" w:top="220" w:right="820" w:bottom="0" w:gutter="0" w:footer="0" w:header="0"/>
          <w:type w:val="continuous"/>
        </w:sectPr>
      </w:pPr>
    </w:p>
    <w:bookmarkStart w:id="61" w:name="page62"/>
    <w:bookmarkEnd w:id="61"/>
    <w:p>
      <w:pPr>
        <w:ind w:left="1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NCR Voyix Corporation</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(in millions, except per share amounts)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4"/>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Product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w:t>
            </w:r>
          </w:p>
        </w:tc>
        <w:tc>
          <w:tcPr>
            <w:tcW w:w="0" w:type="dxa"/>
            <w:vAlign w:val="bottom"/>
          </w:tcPr>
          <w:p>
            <w:pPr>
              <w:spacing w:after="0"/>
              <w:rPr>
                <w:sz w:val="1"/>
                <w:szCs w:val="1"/>
                <w:color w:val="auto"/>
              </w:rPr>
            </w:pPr>
          </w:p>
        </w:tc>
      </w:tr>
      <w:tr>
        <w:trPr>
          <w:trHeight w:val="286"/>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Service revenue</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1,913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1,951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2,003</w:t>
            </w:r>
          </w:p>
        </w:tc>
        <w:tc>
          <w:tcPr>
            <w:tcW w:w="0" w:type="dxa"/>
            <w:vAlign w:val="bottom"/>
          </w:tcPr>
          <w:p>
            <w:pPr>
              <w:spacing w:after="0"/>
              <w:rPr>
                <w:sz w:val="1"/>
                <w:szCs w:val="1"/>
                <w:color w:val="auto"/>
              </w:rPr>
            </w:pPr>
          </w:p>
        </w:tc>
      </w:tr>
      <w:tr>
        <w:trPr>
          <w:trHeight w:val="265"/>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2,687</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2,818</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3,166</w:t>
            </w:r>
          </w:p>
        </w:tc>
        <w:tc>
          <w:tcPr>
            <w:tcW w:w="0" w:type="dxa"/>
            <w:vAlign w:val="bottom"/>
          </w:tcPr>
          <w:p>
            <w:pPr>
              <w:spacing w:after="0"/>
              <w:rPr>
                <w:sz w:val="1"/>
                <w:szCs w:val="1"/>
                <w:color w:val="auto"/>
              </w:rPr>
            </w:pPr>
          </w:p>
        </w:tc>
      </w:tr>
      <w:tr>
        <w:trPr>
          <w:trHeight w:val="264"/>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Cost of products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686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w:t>
            </w:r>
          </w:p>
        </w:tc>
        <w:tc>
          <w:tcPr>
            <w:tcW w:w="0" w:type="dxa"/>
            <w:vAlign w:val="bottom"/>
          </w:tcPr>
          <w:p>
            <w:pPr>
              <w:spacing w:after="0"/>
              <w:rPr>
                <w:sz w:val="1"/>
                <w:szCs w:val="1"/>
                <w:color w:val="auto"/>
              </w:rPr>
            </w:pPr>
          </w:p>
        </w:tc>
      </w:tr>
      <w:tr>
        <w:trPr>
          <w:trHeight w:val="284"/>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Cost of services</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1,367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1,474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w:t>
            </w:r>
          </w:p>
        </w:tc>
        <w:tc>
          <w:tcPr>
            <w:tcW w:w="0" w:type="dxa"/>
            <w:vAlign w:val="bottom"/>
          </w:tcPr>
          <w:p>
            <w:pPr>
              <w:spacing w:after="0"/>
              <w:rPr>
                <w:sz w:val="1"/>
                <w:szCs w:val="1"/>
                <w:color w:val="auto"/>
              </w:rPr>
            </w:pPr>
          </w:p>
        </w:tc>
      </w:tr>
      <w:tr>
        <w:trPr>
          <w:trHeight w:val="285"/>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458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0" w:type="dxa"/>
            <w:vAlign w:val="bottom"/>
          </w:tcPr>
          <w:p>
            <w:pPr>
              <w:spacing w:after="0"/>
              <w:rPr>
                <w:sz w:val="1"/>
                <w:szCs w:val="1"/>
                <w:color w:val="auto"/>
              </w:rPr>
            </w:pPr>
          </w:p>
        </w:tc>
      </w:tr>
      <w:tr>
        <w:trPr>
          <w:trHeight w:val="286"/>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157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0" w:type="dxa"/>
            <w:vAlign w:val="bottom"/>
          </w:tcPr>
          <w:p>
            <w:pPr>
              <w:spacing w:after="0"/>
              <w:rPr>
                <w:sz w:val="1"/>
                <w:szCs w:val="1"/>
                <w:color w:val="auto"/>
              </w:rPr>
            </w:pPr>
          </w:p>
        </w:tc>
      </w:tr>
      <w:tr>
        <w:trPr>
          <w:trHeight w:val="265"/>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2,661</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2,856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3,300</w:t>
            </w:r>
          </w:p>
        </w:tc>
        <w:tc>
          <w:tcPr>
            <w:tcW w:w="0" w:type="dxa"/>
            <w:vAlign w:val="bottom"/>
          </w:tcPr>
          <w:p>
            <w:pPr>
              <w:spacing w:after="0"/>
              <w:rPr>
                <w:sz w:val="1"/>
                <w:szCs w:val="1"/>
                <w:color w:val="auto"/>
              </w:rPr>
            </w:pPr>
          </w:p>
        </w:tc>
      </w:tr>
      <w:tr>
        <w:trPr>
          <w:trHeight w:val="264"/>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(loss) from operations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0" w:type="dxa"/>
            <w:vAlign w:val="bottom"/>
          </w:tcPr>
          <w:p>
            <w:pPr>
              <w:spacing w:after="0"/>
              <w:rPr>
                <w:sz w:val="1"/>
                <w:szCs w:val="1"/>
                <w:color w:val="auto"/>
              </w:rPr>
            </w:pPr>
          </w:p>
        </w:tc>
      </w:tr>
      <w:tr>
        <w:trPr>
          <w:trHeight w:val="284"/>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Gain (loss) on extinguishment of debt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85"/>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0" w:type="dxa"/>
            <w:vAlign w:val="bottom"/>
          </w:tcPr>
          <w:p>
            <w:pPr>
              <w:spacing w:after="0"/>
              <w:rPr>
                <w:sz w:val="1"/>
                <w:szCs w:val="1"/>
                <w:color w:val="auto"/>
              </w:rPr>
            </w:pPr>
          </w:p>
        </w:tc>
      </w:tr>
      <w:tr>
        <w:trPr>
          <w:trHeight w:val="286"/>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64"/>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(loss) from continuing operations before income taxes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0" w:type="dxa"/>
            <w:vAlign w:val="bottom"/>
          </w:tcPr>
          <w:p>
            <w:pPr>
              <w:spacing w:after="0"/>
              <w:rPr>
                <w:sz w:val="1"/>
                <w:szCs w:val="1"/>
                <w:color w:val="auto"/>
              </w:rPr>
            </w:pPr>
          </w:p>
        </w:tc>
      </w:tr>
      <w:tr>
        <w:trPr>
          <w:trHeight w:val="286"/>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0" w:type="dxa"/>
            <w:vAlign w:val="bottom"/>
          </w:tcPr>
          <w:p>
            <w:pPr>
              <w:spacing w:after="0"/>
              <w:rPr>
                <w:sz w:val="1"/>
                <w:szCs w:val="1"/>
                <w:color w:val="auto"/>
              </w:rPr>
            </w:pPr>
          </w:p>
        </w:tc>
      </w:tr>
      <w:tr>
        <w:trPr>
          <w:trHeight w:val="264"/>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(loss) from continuing operations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0" w:type="dxa"/>
            <w:vAlign w:val="bottom"/>
          </w:tcPr>
          <w:p>
            <w:pPr>
              <w:spacing w:after="0"/>
              <w:rPr>
                <w:sz w:val="1"/>
                <w:szCs w:val="1"/>
                <w:color w:val="auto"/>
              </w:rPr>
            </w:pPr>
          </w:p>
        </w:tc>
      </w:tr>
      <w:tr>
        <w:trPr>
          <w:trHeight w:val="286"/>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discontinued operations, net of tax</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1,158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r>
        <w:trPr>
          <w:trHeight w:val="264"/>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0" w:type="dxa"/>
            <w:vAlign w:val="bottom"/>
          </w:tcPr>
          <w:p>
            <w:pPr>
              <w:spacing w:after="0"/>
              <w:rPr>
                <w:sz w:val="1"/>
                <w:szCs w:val="1"/>
                <w:color w:val="auto"/>
              </w:rPr>
            </w:pPr>
          </w:p>
        </w:tc>
      </w:tr>
      <w:tr>
        <w:trPr>
          <w:trHeight w:val="286"/>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attributable to noncontrolling interests of discontinued operations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(loss) attributable to NCR Voyix</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Amounts attributable to NCR Voyix common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460" w:type="dxa"/>
            <w:vAlign w:val="bottom"/>
            <w:vMerge w:val="continue"/>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0" w:type="dxa"/>
            <w:vAlign w:val="bottom"/>
          </w:tcPr>
          <w:p>
            <w:pPr>
              <w:spacing w:after="0"/>
              <w:rPr>
                <w:sz w:val="1"/>
                <w:szCs w:val="1"/>
                <w:color w:val="auto"/>
              </w:rPr>
            </w:pPr>
          </w:p>
        </w:tc>
      </w:tr>
      <w:tr>
        <w:trPr>
          <w:trHeight w:val="288"/>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240" w:type="dxa"/>
            <w:vAlign w:val="bottom"/>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Series A convertible preferred stock dividends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64"/>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Income (loss) from continuing operations attributable to NCR Voyix</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0" w:type="dxa"/>
            <w:vAlign w:val="bottom"/>
          </w:tcPr>
          <w:p>
            <w:pPr>
              <w:spacing w:after="0"/>
              <w:rPr>
                <w:sz w:val="1"/>
                <w:szCs w:val="1"/>
                <w:color w:val="auto"/>
              </w:rPr>
            </w:pPr>
          </w:p>
        </w:tc>
      </w:tr>
      <w:tr>
        <w:trPr>
          <w:trHeight w:val="286"/>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discontinued operations, net of tax</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1,159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r>
        <w:trPr>
          <w:trHeight w:val="245"/>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income (loss) attributable to NCR Voyix common stockholders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Income (loss) per share attributable to NCR Voyix common stockholders: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(loss) per common share from continuing operations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Basic</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0.16</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Diluted</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46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0.16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(1.49)</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(5.33)</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income (loss) per common share</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460" w:type="dxa"/>
            <w:vAlign w:val="bottom"/>
            <w:vMerge w:val="continue"/>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0.30</w:t>
            </w:r>
          </w:p>
        </w:tc>
        <w:tc>
          <w:tcPr>
            <w:tcW w:w="80" w:type="dxa"/>
            <w:vAlign w:val="bottom"/>
            <w:vMerge w:val="restart"/>
          </w:tcPr>
          <w:p>
            <w:pPr>
              <w:spacing w:after="0"/>
              <w:rPr>
                <w:sz w:val="20"/>
                <w:szCs w:val="2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6.52</w:t>
            </w:r>
          </w:p>
        </w:tc>
        <w:tc>
          <w:tcPr>
            <w:tcW w:w="60" w:type="dxa"/>
            <w:vAlign w:val="bottom"/>
            <w:vMerge w:val="restart"/>
          </w:tcPr>
          <w:p>
            <w:pPr>
              <w:spacing w:after="0"/>
              <w:rPr>
                <w:sz w:val="20"/>
                <w:szCs w:val="2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r>
        <w:trPr>
          <w:trHeight w:val="275"/>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Basic</w:t>
            </w:r>
          </w:p>
        </w:tc>
        <w:tc>
          <w:tcPr>
            <w:tcW w:w="240" w:type="dxa"/>
            <w:vAlign w:val="bottom"/>
            <w:tcBorders>
              <w:bottom w:val="single" w:sz="8" w:color="auto"/>
            </w:tcBorders>
            <w:vMerge w:val="continue"/>
          </w:tcPr>
          <w:p>
            <w:pPr>
              <w:spacing w:after="0"/>
              <w:rPr>
                <w:sz w:val="23"/>
                <w:szCs w:val="23"/>
                <w:color w:val="auto"/>
              </w:rPr>
            </w:pPr>
          </w:p>
        </w:tc>
        <w:tc>
          <w:tcPr>
            <w:tcW w:w="720" w:type="dxa"/>
            <w:vAlign w:val="bottom"/>
            <w:tcBorders>
              <w:bottom w:val="single" w:sz="8" w:color="auto"/>
            </w:tcBorders>
            <w:vMerge w:val="continue"/>
          </w:tcPr>
          <w:p>
            <w:pPr>
              <w:spacing w:after="0"/>
              <w:rPr>
                <w:sz w:val="23"/>
                <w:szCs w:val="23"/>
                <w:color w:val="auto"/>
              </w:rPr>
            </w:pPr>
          </w:p>
        </w:tc>
        <w:tc>
          <w:tcPr>
            <w:tcW w:w="80" w:type="dxa"/>
            <w:vAlign w:val="bottom"/>
            <w:vMerge w:val="continue"/>
          </w:tcPr>
          <w:p>
            <w:pPr>
              <w:spacing w:after="0"/>
              <w:rPr>
                <w:sz w:val="23"/>
                <w:szCs w:val="23"/>
                <w:color w:val="auto"/>
              </w:rPr>
            </w:pPr>
          </w:p>
        </w:tc>
        <w:tc>
          <w:tcPr>
            <w:tcW w:w="220" w:type="dxa"/>
            <w:vAlign w:val="bottom"/>
            <w:tcBorders>
              <w:bottom w:val="single" w:sz="8" w:color="auto"/>
            </w:tcBorders>
            <w:vMerge w:val="continue"/>
          </w:tcPr>
          <w:p>
            <w:pPr>
              <w:spacing w:after="0"/>
              <w:rPr>
                <w:sz w:val="23"/>
                <w:szCs w:val="23"/>
                <w:color w:val="auto"/>
              </w:rPr>
            </w:pPr>
          </w:p>
        </w:tc>
        <w:tc>
          <w:tcPr>
            <w:tcW w:w="740" w:type="dxa"/>
            <w:vAlign w:val="bottom"/>
            <w:tcBorders>
              <w:bottom w:val="single" w:sz="8" w:color="auto"/>
            </w:tcBorders>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240" w:type="dxa"/>
            <w:vAlign w:val="bottom"/>
            <w:tcBorders>
              <w:bottom w:val="single" w:sz="8" w:color="auto"/>
            </w:tcBorders>
            <w:vMerge w:val="continue"/>
          </w:tcPr>
          <w:p>
            <w:pPr>
              <w:spacing w:after="0"/>
              <w:rPr>
                <w:sz w:val="23"/>
                <w:szCs w:val="23"/>
                <w:color w:val="auto"/>
              </w:rPr>
            </w:pPr>
          </w:p>
        </w:tc>
        <w:tc>
          <w:tcPr>
            <w:tcW w:w="72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Diluted</w:t>
            </w: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46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0.30</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bottom w:val="single" w:sz="8" w:color="auto"/>
            </w:tcBorders>
          </w:tcPr>
          <w:p>
            <w:pPr>
              <w:jc w:val="right"/>
              <w:ind w:right="1"/>
              <w:spacing w:after="0" w:line="225" w:lineRule="exact"/>
              <w:rPr>
                <w:sz w:val="20"/>
                <w:szCs w:val="20"/>
                <w:color w:val="auto"/>
              </w:rPr>
            </w:pPr>
            <w:r>
              <w:rPr>
                <w:rFonts w:ascii="Times New Roman" w:cs="Times New Roman" w:eastAsia="Times New Roman" w:hAnsi="Times New Roman"/>
                <w:sz w:val="20"/>
                <w:szCs w:val="20"/>
                <w:color w:val="auto"/>
              </w:rPr>
              <w:t>6.52</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Weighted average common shares outstanding</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138.6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144.7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140.6</w:t>
            </w:r>
          </w:p>
        </w:tc>
        <w:tc>
          <w:tcPr>
            <w:tcW w:w="0" w:type="dxa"/>
            <w:vAlign w:val="bottom"/>
          </w:tcPr>
          <w:p>
            <w:pPr>
              <w:spacing w:after="0"/>
              <w:rPr>
                <w:sz w:val="1"/>
                <w:szCs w:val="1"/>
                <w:color w:val="auto"/>
              </w:rPr>
            </w:pPr>
          </w:p>
        </w:tc>
      </w:tr>
      <w:tr>
        <w:trPr>
          <w:trHeight w:val="288"/>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Basic</w:t>
            </w:r>
          </w:p>
        </w:tc>
        <w:tc>
          <w:tcPr>
            <w:tcW w:w="2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Diluted</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141.1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144.7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-6339205</wp:posOffset>
            </wp:positionV>
            <wp:extent cx="6724650" cy="635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extLst>
                    </a:blip>
                    <a:srcRect/>
                    <a:stretch>
                      <a:fillRect/>
                    </a:stretch>
                  </pic:blipFill>
                  <pic:spPr bwMode="auto">
                    <a:xfrm>
                      <a:off x="0" y="0"/>
                      <a:ext cx="6724650" cy="6359525"/>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10480"/>
          </w:cols>
          <w:pgMar w:left="900" w:top="22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480"/>
          </w:cols>
          <w:pgMar w:left="900" w:top="220" w:right="860" w:bottom="0" w:gutter="0" w:footer="0" w:header="0"/>
          <w:type w:val="continuous"/>
        </w:sectPr>
      </w:pPr>
    </w:p>
    <w:bookmarkStart w:id="62" w:name="page63"/>
    <w:bookmarkEnd w:id="62"/>
    <w:p>
      <w:pPr>
        <w:ind w:left="1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NCR Voyix Corporation</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(in millions)</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r>
      <w:tr>
        <w:trPr>
          <w:trHeight w:val="283"/>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Currency translation adjustments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6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Currency translation adjustments gain (loss)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85"/>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Derivatives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6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Unrealized gain (loss) on derivatives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6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Loss (gain) on derivatives arising during the period</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85"/>
        </w:trPr>
        <w:tc>
          <w:tcPr>
            <w:tcW w:w="6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Less income tax benefit (expense)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85"/>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Employee benefit plans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0"/>
        </w:trPr>
        <w:tc>
          <w:tcPr>
            <w:tcW w:w="6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Prior service benefit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Amortization of prior service cost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5"/>
        </w:trPr>
        <w:tc>
          <w:tcPr>
            <w:tcW w:w="6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gain (loss) arising during the period</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5"/>
        </w:trPr>
        <w:tc>
          <w:tcPr>
            <w:tcW w:w="6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Amortization of actuarial (loss) gain</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8"/>
        </w:trPr>
        <w:tc>
          <w:tcPr>
            <w:tcW w:w="6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Less income tax benefit (expense)</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65"/>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 (loss)</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64"/>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comprehensive income (loss)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r>
      <w:tr>
        <w:trPr>
          <w:trHeight w:val="298"/>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Less comprehensive income (loss) attributable to noncontrolling interests: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6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Currency translation adjustments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Amounts attributable to noncontrolling interests</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Comprehensive income (loss) attributable to NCR Voyix common stockholders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r>
      <w:tr>
        <w:trPr>
          <w:trHeight w:val="20"/>
        </w:trPr>
        <w:tc>
          <w:tcPr>
            <w:tcW w:w="6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-3869690</wp:posOffset>
            </wp:positionV>
            <wp:extent cx="6734175" cy="3889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extLst>
                    </a:blip>
                    <a:srcRect/>
                    <a:stretch>
                      <a:fillRect/>
                    </a:stretch>
                  </pic:blipFill>
                  <pic:spPr bwMode="auto">
                    <a:xfrm>
                      <a:off x="0" y="0"/>
                      <a:ext cx="6734175" cy="3889375"/>
                    </a:xfrm>
                    <a:prstGeom prst="rect">
                      <a:avLst/>
                    </a:prstGeom>
                    <a:noFill/>
                  </pic:spPr>
                </pic:pic>
              </a:graphicData>
            </a:graphic>
          </wp:anchor>
        </w:drawing>
      </w:r>
    </w:p>
    <w:p>
      <w:pPr>
        <w:spacing w:after="0" w:line="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10500"/>
          </w:cols>
          <w:pgMar w:left="900" w:top="22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500"/>
          </w:cols>
          <w:pgMar w:left="900" w:top="220" w:right="840" w:bottom="0" w:gutter="0" w:footer="0" w:header="0"/>
          <w:type w:val="continuous"/>
        </w:sectPr>
      </w:pPr>
    </w:p>
    <w:bookmarkStart w:id="63" w:name="page64"/>
    <w:bookmarkEnd w:id="63"/>
    <w:p>
      <w:pPr>
        <w:ind w:left="14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NCR Voyix Corporation</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(in millions except per share amounts)</w:t>
            </w:r>
          </w:p>
        </w:tc>
        <w:tc>
          <w:tcPr>
            <w:tcW w:w="3040" w:type="dxa"/>
            <w:vAlign w:val="bottom"/>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-1905</wp:posOffset>
            </wp:positionV>
            <wp:extent cx="6791325" cy="7404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extLst>
                    </a:blip>
                    <a:srcRect/>
                    <a:stretch>
                      <a:fillRect/>
                    </a:stretch>
                  </pic:blipFill>
                  <pic:spPr bwMode="auto">
                    <a:xfrm>
                      <a:off x="0" y="0"/>
                      <a:ext cx="6791325" cy="7404100"/>
                    </a:xfrm>
                    <a:prstGeom prst="rect">
                      <a:avLst/>
                    </a:prstGeom>
                    <a:noFill/>
                  </pic:spPr>
                </pic:pic>
              </a:graphicData>
            </a:graphic>
          </wp:anchor>
        </w:drawing>
      </w:r>
    </w:p>
    <w:p>
      <w:pPr>
        <w:sectPr>
          <w:pgSz w:w="12240" w:h="15840" w:orient="portrait"/>
          <w:cols w:equalWidth="0" w:num="1">
            <w:col w:w="10580"/>
          </w:cols>
          <w:pgMar w:left="860" w:top="220" w:right="800" w:bottom="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18" w:lineRule="exact"/>
        <w:rPr>
          <w:sz w:val="20"/>
          <w:szCs w:val="20"/>
          <w:color w:val="auto"/>
        </w:rPr>
      </w:pPr>
    </w:p>
    <w:p>
      <w:pPr>
        <w:ind w:left="360" w:right="500"/>
        <w:spacing w:after="0" w:line="230" w:lineRule="auto"/>
        <w:rPr>
          <w:sz w:val="20"/>
          <w:szCs w:val="20"/>
          <w:color w:val="auto"/>
        </w:rPr>
      </w:pPr>
      <w:r>
        <w:rPr>
          <w:rFonts w:ascii="Times New Roman" w:cs="Times New Roman" w:eastAsia="Times New Roman" w:hAnsi="Times New Roman"/>
          <w:sz w:val="18"/>
          <w:szCs w:val="18"/>
          <w:color w:val="auto"/>
        </w:rPr>
        <w:t>Accounts receivable, net of allowances of $21 and $26 as of December 31, 2025 and 2024, respectively</w:t>
      </w:r>
    </w:p>
    <w:p>
      <w:pPr>
        <w:spacing w:after="0" w:line="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Inventories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Restricted cash</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Current assets of discontinued operations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net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pension cost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Payroll and benefits liabilities</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Settlement liabilities</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and indemnity plan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Postretirement and postemployment benefits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accruals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p>
      <w:pPr>
        <w:spacing w:after="0" w:line="17"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17"/>
          <w:szCs w:val="17"/>
          <w:color w:val="auto"/>
        </w:rPr>
        <w:t>Series A convertible preferred stock: par value $0.01 per share, 3.0 shares authorized, 0.2 and 0.3 shares issued and outstanding as of December 31, 2025 and 2024, respectively; redemption amount and liquidation preference of $207 and $276 as of December 31, 2025 and 2024, respectively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NCR Voyix stockholders’ equity</w:t>
      </w:r>
    </w:p>
    <w:p>
      <w:pPr>
        <w:spacing w:after="0" w:line="21" w:lineRule="exact"/>
        <w:rPr>
          <w:sz w:val="20"/>
          <w:szCs w:val="20"/>
          <w:color w:val="auto"/>
        </w:rPr>
      </w:pPr>
    </w:p>
    <w:p>
      <w:pPr>
        <w:ind w:left="360"/>
        <w:spacing w:after="0" w:line="230" w:lineRule="auto"/>
        <w:rPr>
          <w:sz w:val="20"/>
          <w:szCs w:val="20"/>
          <w:color w:val="auto"/>
        </w:rPr>
      </w:pPr>
      <w:r>
        <w:rPr>
          <w:rFonts w:ascii="Times New Roman" w:cs="Times New Roman" w:eastAsia="Times New Roman" w:hAnsi="Times New Roman"/>
          <w:sz w:val="18"/>
          <w:szCs w:val="18"/>
          <w:color w:val="auto"/>
        </w:rPr>
        <w:t>Preferred stock: par value $0.01 per share, 100.0 shares authorized, no shares issued and outstanding as of December 31, 2025 and 2024, respectively</w:t>
      </w:r>
    </w:p>
    <w:p>
      <w:pPr>
        <w:spacing w:after="0" w:line="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Common stock: par value $0.01 per share, 500.0 shares authorized, 138.3 and 142.1 shares issued and outstanding as of December 31, 2025 and 2024, respectively</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Paid-in capital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Retained earnings (deficit)</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NCR Voyix stockholders’ equity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 in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120"/>
        <w:spacing w:after="0"/>
        <w:tabs>
          <w:tab w:leader="none" w:pos="620" w:val="left"/>
          <w:tab w:leader="none" w:pos="166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722</w:t>
      </w:r>
    </w:p>
    <w:p>
      <w:pPr>
        <w:spacing w:after="0" w:line="232" w:lineRule="exact"/>
        <w:rPr>
          <w:sz w:val="20"/>
          <w:szCs w:val="20"/>
          <w:color w:val="auto"/>
        </w:rPr>
      </w:pPr>
    </w:p>
    <w:p>
      <w:pPr>
        <w:ind w:left="1680" w:hanging="1530"/>
        <w:spacing w:after="0"/>
        <w:tabs>
          <w:tab w:leader="none" w:pos="16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532</w:t>
      </w:r>
    </w:p>
    <w:p>
      <w:pPr>
        <w:spacing w:after="0" w:line="27" w:lineRule="exact"/>
        <w:rPr>
          <w:sz w:val="20"/>
          <w:szCs w:val="20"/>
          <w:color w:val="auto"/>
        </w:rPr>
      </w:pPr>
    </w:p>
    <w:p>
      <w:pPr>
        <w:ind w:left="1680" w:hanging="1530"/>
        <w:spacing w:after="0"/>
        <w:tabs>
          <w:tab w:leader="none" w:pos="16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208</w:t>
      </w:r>
    </w:p>
    <w:p>
      <w:pPr>
        <w:spacing w:after="0" w:line="18" w:lineRule="exact"/>
        <w:rPr>
          <w:sz w:val="20"/>
          <w:szCs w:val="20"/>
          <w:color w:val="auto"/>
        </w:rPr>
      </w:pPr>
    </w:p>
    <w:p>
      <w:pPr>
        <w:ind w:left="3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8"/>
          <w:szCs w:val="18"/>
          <w:color w:val="auto"/>
        </w:rPr>
        <w:t>31</w:t>
      </w:r>
    </w:p>
    <w:p>
      <w:pPr>
        <w:spacing w:after="0" w:line="18" w:lineRule="exact"/>
        <w:rPr>
          <w:sz w:val="20"/>
          <w:szCs w:val="20"/>
          <w:color w:val="auto"/>
        </w:rPr>
      </w:pPr>
    </w:p>
    <w:p>
      <w:pPr>
        <w:ind w:left="1680" w:hanging="1530"/>
        <w:spacing w:after="0"/>
        <w:tabs>
          <w:tab w:leader="none" w:pos="16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166</w:t>
      </w:r>
    </w:p>
    <w:p>
      <w:pPr>
        <w:spacing w:after="0" w:line="18"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w:t>
      </w:r>
    </w:p>
    <w:p>
      <w:pPr>
        <w:spacing w:after="0" w:line="18"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1,103</w:t>
      </w:r>
      <w:r>
        <w:rPr>
          <w:sz w:val="20"/>
          <w:szCs w:val="20"/>
          <w:color w:val="auto"/>
        </w:rPr>
        <w:tab/>
      </w:r>
      <w:r>
        <w:rPr>
          <w:rFonts w:ascii="Times New Roman" w:cs="Times New Roman" w:eastAsia="Times New Roman" w:hAnsi="Times New Roman"/>
          <w:sz w:val="18"/>
          <w:szCs w:val="18"/>
          <w:color w:val="auto"/>
        </w:rPr>
        <w:t>1,671</w:t>
      </w:r>
    </w:p>
    <w:p>
      <w:pPr>
        <w:spacing w:after="0" w:line="18" w:lineRule="exact"/>
        <w:rPr>
          <w:sz w:val="20"/>
          <w:szCs w:val="20"/>
          <w:color w:val="auto"/>
        </w:rPr>
      </w:pPr>
    </w:p>
    <w:p>
      <w:pPr>
        <w:ind w:left="1680" w:hanging="1530"/>
        <w:spacing w:after="0"/>
        <w:tabs>
          <w:tab w:leader="none" w:pos="16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192</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3"/>
              </w:rPr>
              <w:t>1,520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38"/>
        </w:trPr>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83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ind w:left="1680" w:hanging="1530"/>
        <w:spacing w:after="0"/>
        <w:tabs>
          <w:tab w:leader="none" w:pos="16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229</w:t>
      </w:r>
    </w:p>
    <w:p>
      <w:pPr>
        <w:spacing w:after="0" w:line="18" w:lineRule="exact"/>
        <w:rPr>
          <w:sz w:val="20"/>
          <w:szCs w:val="20"/>
          <w:color w:val="auto"/>
        </w:rPr>
      </w:pPr>
    </w:p>
    <w:p>
      <w:pPr>
        <w:ind w:left="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50</w:t>
      </w:r>
      <w:r>
        <w:rPr>
          <w:sz w:val="20"/>
          <w:szCs w:val="20"/>
          <w:color w:val="auto"/>
        </w:rPr>
        <w:tab/>
      </w:r>
      <w:r>
        <w:rPr>
          <w:rFonts w:ascii="Times New Roman" w:cs="Times New Roman" w:eastAsia="Times New Roman" w:hAnsi="Times New Roman"/>
          <w:sz w:val="18"/>
          <w:szCs w:val="18"/>
          <w:color w:val="auto"/>
        </w:rPr>
        <w:t>47</w:t>
      </w:r>
    </w:p>
    <w:p>
      <w:pPr>
        <w:spacing w:after="0" w:line="18" w:lineRule="exact"/>
        <w:rPr>
          <w:sz w:val="20"/>
          <w:szCs w:val="20"/>
          <w:color w:val="auto"/>
        </w:rPr>
      </w:pPr>
    </w:p>
    <w:p>
      <w:pPr>
        <w:ind w:left="1680" w:hanging="1530"/>
        <w:spacing w:after="0"/>
        <w:tabs>
          <w:tab w:leader="none" w:pos="16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189</w:t>
      </w:r>
    </w:p>
    <w:p>
      <w:pPr>
        <w:spacing w:after="0" w:line="18" w:lineRule="exact"/>
        <w:rPr>
          <w:sz w:val="20"/>
          <w:szCs w:val="20"/>
          <w:color w:val="auto"/>
        </w:rPr>
      </w:pPr>
    </w:p>
    <w:p>
      <w:pPr>
        <w:ind w:left="1680" w:hanging="1530"/>
        <w:spacing w:after="0"/>
        <w:tabs>
          <w:tab w:leader="none" w:pos="16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 w:type="dxa"/>
            <w:vAlign w:val="bottom"/>
          </w:tcPr>
          <w:p>
            <w:pPr>
              <w:jc w:val="right"/>
              <w:ind w:right="110"/>
              <w:spacing w:after="0" w:line="190" w:lineRule="exact"/>
              <w:rPr>
                <w:sz w:val="20"/>
                <w:szCs w:val="20"/>
                <w:color w:val="auto"/>
              </w:rPr>
            </w:pPr>
            <w:r>
              <w:rPr>
                <w:rFonts w:ascii="Times New Roman" w:cs="Times New Roman" w:eastAsia="Times New Roman" w:hAnsi="Times New Roman"/>
                <w:sz w:val="18"/>
                <w:szCs w:val="18"/>
                <w:b w:val="1"/>
                <w:bCs w:val="1"/>
                <w:color w:val="auto"/>
                <w:w w:val="93"/>
              </w:rPr>
              <w:t>3,921</w:t>
            </w:r>
          </w:p>
        </w:tc>
        <w:tc>
          <w:tcPr>
            <w:tcW w:w="540" w:type="dxa"/>
            <w:vAlign w:val="bottom"/>
            <w:tcBorders>
              <w:top w:val="single" w:sz="8" w:color="auto"/>
              <w:bottom w:val="single" w:sz="8" w:color="auto"/>
            </w:tcBorders>
          </w:tcPr>
          <w:p>
            <w:pPr>
              <w:jc w:val="right"/>
              <w:ind w:right="310"/>
              <w:spacing w:after="0" w:line="190"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4,452</w:t>
            </w: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346</w:t>
            </w: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600" w:type="dxa"/>
            <w:vAlign w:val="bottom"/>
            <w:vMerge w:val="continue"/>
          </w:tcPr>
          <w:p>
            <w:pPr>
              <w:spacing w:after="0"/>
              <w:rPr>
                <w:sz w:val="24"/>
                <w:szCs w:val="24"/>
                <w:color w:val="auto"/>
              </w:rPr>
            </w:pP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bl>
    <w:p>
      <w:pPr>
        <w:ind w:left="1680" w:hanging="1440"/>
        <w:spacing w:after="0"/>
        <w:tabs>
          <w:tab w:leader="none" w:pos="16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104</w:t>
      </w:r>
    </w:p>
    <w:p>
      <w:pPr>
        <w:spacing w:after="0" w:line="18" w:lineRule="exact"/>
        <w:rPr>
          <w:sz w:val="20"/>
          <w:szCs w:val="20"/>
          <w:color w:val="auto"/>
        </w:rPr>
      </w:pPr>
    </w:p>
    <w:p>
      <w:pPr>
        <w:ind w:left="1680" w:hanging="1530"/>
        <w:spacing w:after="0"/>
        <w:tabs>
          <w:tab w:leader="none" w:pos="1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209</w:t>
      </w:r>
    </w:p>
    <w:p>
      <w:pPr>
        <w:spacing w:after="0" w:line="18" w:lineRule="exact"/>
        <w:rPr>
          <w:sz w:val="20"/>
          <w:szCs w:val="20"/>
          <w:color w:val="auto"/>
        </w:rPr>
      </w:pPr>
    </w:p>
    <w:p>
      <w:pPr>
        <w:ind w:left="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color w:val="auto"/>
        </w:rPr>
        <w:t>47</w:t>
      </w:r>
    </w:p>
    <w:p>
      <w:pPr>
        <w:spacing w:after="0" w:line="18" w:lineRule="exact"/>
        <w:rPr>
          <w:sz w:val="20"/>
          <w:szCs w:val="20"/>
          <w:color w:val="auto"/>
        </w:rPr>
      </w:pPr>
    </w:p>
    <w:p>
      <w:pPr>
        <w:ind w:left="1680" w:hanging="1530"/>
        <w:spacing w:after="0"/>
        <w:tabs>
          <w:tab w:leader="none" w:pos="16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724</w:t>
      </w:r>
    </w:p>
    <w:p>
      <w:pPr>
        <w:spacing w:after="0" w:line="18"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80" w:type="dxa"/>
            <w:vAlign w:val="bottom"/>
          </w:tcPr>
          <w:p>
            <w:pPr>
              <w:jc w:val="right"/>
              <w:ind w:right="90"/>
              <w:spacing w:after="0" w:line="192" w:lineRule="exact"/>
              <w:rPr>
                <w:sz w:val="20"/>
                <w:szCs w:val="20"/>
                <w:color w:val="auto"/>
              </w:rPr>
            </w:pPr>
            <w:r>
              <w:rPr>
                <w:rFonts w:ascii="Times New Roman" w:cs="Times New Roman" w:eastAsia="Times New Roman" w:hAnsi="Times New Roman"/>
                <w:sz w:val="18"/>
                <w:szCs w:val="18"/>
                <w:b w:val="1"/>
                <w:bCs w:val="1"/>
                <w:color w:val="auto"/>
                <w:w w:val="93"/>
              </w:rPr>
              <w:t>1,065</w:t>
            </w:r>
          </w:p>
        </w:tc>
        <w:tc>
          <w:tcPr>
            <w:tcW w:w="14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1,420</w:t>
            </w:r>
          </w:p>
        </w:tc>
      </w:tr>
      <w:tr>
        <w:trPr>
          <w:trHeight w:val="238"/>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3"/>
              </w:rPr>
              <w:t>1,100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bl>
    <w:p>
      <w:pPr>
        <w:ind w:left="1680" w:hanging="1530"/>
        <w:spacing w:after="0"/>
        <w:tabs>
          <w:tab w:leader="none" w:pos="16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144</w:t>
      </w:r>
    </w:p>
    <w:p>
      <w:pPr>
        <w:spacing w:after="0" w:line="18"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8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32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8"/>
        </w:trPr>
        <w:tc>
          <w:tcPr>
            <w:tcW w:w="8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51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ind w:left="1680" w:hanging="1530"/>
        <w:spacing w:after="0"/>
        <w:tabs>
          <w:tab w:leader="none" w:pos="16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248</w:t>
      </w:r>
    </w:p>
    <w:p>
      <w:pPr>
        <w:spacing w:after="0" w:line="18" w:lineRule="exact"/>
        <w:rPr>
          <w:sz w:val="20"/>
          <w:szCs w:val="20"/>
          <w:color w:val="auto"/>
        </w:rPr>
      </w:pPr>
    </w:p>
    <w:p>
      <w:pPr>
        <w:ind w:left="1680" w:hanging="1530"/>
        <w:spacing w:after="0"/>
        <w:tabs>
          <w:tab w:leader="none" w:pos="16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241</w:t>
      </w:r>
    </w:p>
    <w:p>
      <w:pPr>
        <w:spacing w:after="0" w:line="18"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color w:val="auto"/>
        </w:rPr>
        <w:t>1</w:t>
      </w:r>
    </w:p>
    <w:p>
      <w:pPr>
        <w:spacing w:after="0" w:line="18"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2,766</w:t>
      </w:r>
      <w:r>
        <w:rPr>
          <w:sz w:val="20"/>
          <w:szCs w:val="20"/>
          <w:color w:val="auto"/>
        </w:rPr>
        <w:tab/>
      </w:r>
      <w:r>
        <w:rPr>
          <w:rFonts w:ascii="Times New Roman" w:cs="Times New Roman" w:eastAsia="Times New Roman" w:hAnsi="Times New Roman"/>
          <w:sz w:val="18"/>
          <w:szCs w:val="18"/>
          <w:color w:val="auto"/>
        </w:rPr>
        <w:t>3,245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80" w:hanging="1530"/>
        <w:spacing w:after="0"/>
        <w:tabs>
          <w:tab w:leader="none" w:pos="16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276</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ind w:left="30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1</w:t>
      </w:r>
    </w:p>
    <w:p>
      <w:pPr>
        <w:spacing w:after="0" w:line="31" w:lineRule="exact"/>
        <w:rPr>
          <w:sz w:val="20"/>
          <w:szCs w:val="20"/>
          <w:color w:val="auto"/>
        </w:rPr>
      </w:pPr>
    </w:p>
    <w:p>
      <w:pPr>
        <w:ind w:left="1680" w:hanging="1552"/>
        <w:spacing w:after="0"/>
        <w:tabs>
          <w:tab w:leader="none" w:pos="16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866</w:t>
      </w:r>
    </w:p>
    <w:p>
      <w:pPr>
        <w:spacing w:after="0" w:line="18" w:lineRule="exact"/>
        <w:rPr>
          <w:sz w:val="20"/>
          <w:szCs w:val="20"/>
          <w:color w:val="auto"/>
        </w:rPr>
      </w:pPr>
    </w:p>
    <w:p>
      <w:pPr>
        <w:ind w:left="1680" w:hanging="1552"/>
        <w:spacing w:after="0"/>
        <w:tabs>
          <w:tab w:leader="none" w:pos="16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535</w:t>
      </w:r>
    </w:p>
    <w:p>
      <w:pPr>
        <w:spacing w:after="0" w:line="18" w:lineRule="exact"/>
        <w:rPr>
          <w:sz w:val="20"/>
          <w:szCs w:val="20"/>
          <w:color w:val="auto"/>
        </w:rPr>
      </w:pPr>
    </w:p>
    <w:p>
      <w:pPr>
        <w:ind w:left="1620" w:hanging="1552"/>
        <w:spacing w:after="0"/>
        <w:tabs>
          <w:tab w:leader="none" w:pos="1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(469)</w:t>
      </w:r>
    </w:p>
    <w:p>
      <w:pPr>
        <w:spacing w:after="0" w:line="18" w:lineRule="exact"/>
        <w:rPr>
          <w:sz w:val="20"/>
          <w:szCs w:val="20"/>
          <w:color w:val="auto"/>
        </w:rPr>
      </w:pPr>
    </w:p>
    <w:p>
      <w:pPr>
        <w:ind w:left="1680" w:hanging="1552"/>
        <w:spacing w:after="0"/>
        <w:tabs>
          <w:tab w:leader="none" w:pos="16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933</w:t>
      </w:r>
    </w:p>
    <w:p>
      <w:pPr>
        <w:spacing w:after="0" w:line="18" w:lineRule="exact"/>
        <w:rPr>
          <w:sz w:val="20"/>
          <w:szCs w:val="20"/>
          <w:color w:val="auto"/>
        </w:rPr>
      </w:pPr>
    </w:p>
    <w:p>
      <w:pPr>
        <w:jc w:val="both"/>
        <w:ind w:left="22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(2)</w:t>
      </w:r>
    </w:p>
    <w:p>
      <w:pPr>
        <w:spacing w:after="0" w:line="18" w:lineRule="exact"/>
        <w:rPr>
          <w:sz w:val="20"/>
          <w:szCs w:val="20"/>
          <w:color w:val="auto"/>
        </w:rPr>
      </w:pPr>
    </w:p>
    <w:p>
      <w:pPr>
        <w:ind w:left="1680" w:hanging="1552"/>
        <w:spacing w:after="0"/>
        <w:tabs>
          <w:tab w:leader="none" w:pos="16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931</w:t>
      </w:r>
    </w:p>
    <w:p>
      <w:pPr>
        <w:spacing w:after="0" w:line="18" w:lineRule="exact"/>
        <w:rPr>
          <w:sz w:val="20"/>
          <w:szCs w:val="20"/>
          <w:color w:val="auto"/>
        </w:rPr>
      </w:pPr>
    </w:p>
    <w:p>
      <w:pPr>
        <w:spacing w:after="0"/>
        <w:tabs>
          <w:tab w:leader="none" w:pos="620" w:val="left"/>
          <w:tab w:leader="none" w:pos="1520" w:val="left"/>
        </w:tabs>
        <w:rPr>
          <w:sz w:val="20"/>
          <w:szCs w:val="20"/>
          <w:color w:val="auto"/>
        </w:rPr>
      </w:pPr>
      <w:r>
        <w:rPr>
          <w:rFonts w:ascii="Times New Roman" w:cs="Times New Roman" w:eastAsia="Times New Roman" w:hAnsi="Times New Roman"/>
          <w:sz w:val="18"/>
          <w:szCs w:val="18"/>
          <w:b w:val="1"/>
          <w:bCs w:val="1"/>
          <w:color w:val="auto"/>
        </w:rPr>
        <w:t>3,921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4,452</w:t>
      </w:r>
    </w:p>
    <w:p>
      <w:pPr>
        <w:spacing w:after="0" w:line="71" w:lineRule="exact"/>
        <w:rPr>
          <w:sz w:val="20"/>
          <w:szCs w:val="20"/>
          <w:color w:val="auto"/>
        </w:rPr>
      </w:pPr>
    </w:p>
    <w:p>
      <w:pPr>
        <w:sectPr>
          <w:pgSz w:w="12240" w:h="15840" w:orient="portrait"/>
          <w:cols w:equalWidth="0" w:num="3">
            <w:col w:w="7440" w:space="100"/>
            <w:col w:w="300" w:space="720"/>
            <w:col w:w="2020"/>
          </w:cols>
          <w:pgMar w:left="860" w:top="220" w:right="800" w:bottom="0" w:gutter="0" w:footer="0" w:header="0"/>
          <w:type w:val="continuous"/>
        </w:sectPr>
      </w:pPr>
    </w:p>
    <w:p>
      <w:pPr>
        <w:jc w:val="center"/>
        <w:ind w:right="60"/>
        <w:spacing w:after="0"/>
        <w:rPr>
          <w:sz w:val="20"/>
          <w:szCs w:val="20"/>
          <w:color w:val="auto"/>
        </w:rPr>
      </w:pPr>
      <w:r>
        <w:rPr>
          <w:rFonts w:ascii="Times New Roman" w:cs="Times New Roman" w:eastAsia="Times New Roman" w:hAnsi="Times New Roman"/>
          <w:sz w:val="19"/>
          <w:szCs w:val="19"/>
          <w:color w:val="auto"/>
        </w:rPr>
        <w:t>The accompanying notes are an integral part of the Consolidated Financial Statements.</w:t>
      </w:r>
    </w:p>
    <w:p>
      <w:pPr>
        <w:sectPr>
          <w:pgSz w:w="12240" w:h="15840" w:orient="portrait"/>
          <w:cols w:equalWidth="0" w:num="1">
            <w:col w:w="10580"/>
          </w:cols>
          <w:pgMar w:left="860" w:top="220"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580"/>
          </w:cols>
          <w:pgMar w:left="860" w:top="220" w:right="8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NCR Voyix Corporation</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(in millions)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1"/>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167"/>
        </w:trPr>
        <w:tc>
          <w:tcPr>
            <w:tcW w:w="62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4"/>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debt extinguishment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disposal of property, plant and equipment and other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 (gain) on divestiture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other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terminated interest rate derivative agreements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 net of effects of business acquired: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0"/>
        </w:trPr>
        <w:tc>
          <w:tcPr>
            <w:tcW w:w="6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Receivables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40"/>
        </w:trPr>
        <w:tc>
          <w:tcPr>
            <w:tcW w:w="6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0"/>
        </w:trPr>
        <w:tc>
          <w:tcPr>
            <w:tcW w:w="6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Current payables and accrued expenses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40"/>
        </w:trPr>
        <w:tc>
          <w:tcPr>
            <w:tcW w:w="6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40"/>
        </w:trPr>
        <w:tc>
          <w:tcPr>
            <w:tcW w:w="6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Employee benefit plans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6"/>
        </w:trPr>
        <w:tc>
          <w:tcPr>
            <w:tcW w:w="62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(512)</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20"/>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21"/>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43"/>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divestiture, 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disposition of corporate-owned life insurance policies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Termination of trade receivable facility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Collections on purchased trade receivables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 (purchase) of intangible assets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221"/>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58"/>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term credit facilities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on term credit facilities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revolving credit facilities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on revolving credit facilities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senior unsecured notes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other financing arrangements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issuance costs and bridge commitment fees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Call premium on debt extinguishment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 paid for Series A preferred share dividends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withholding payments on behalf of employees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Redemption of preferred shares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for finance lease obligations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0"/>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long-term debt related to debt transferred to NCR Atleos at separation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w:t>
            </w:r>
          </w:p>
        </w:tc>
      </w:tr>
      <w:tr>
        <w:trPr>
          <w:trHeight w:val="236"/>
        </w:trPr>
        <w:tc>
          <w:tcPr>
            <w:tcW w:w="6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transferred to NCR Atleos at separation</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20"/>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r>
      <w:tr>
        <w:trPr>
          <w:trHeight w:val="220"/>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4"/>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r>
      <w:tr>
        <w:trPr>
          <w:trHeight w:val="23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758</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200"/>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0"/>
        </w:trPr>
        <w:tc>
          <w:tcPr>
            <w:tcW w:w="6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-8041640</wp:posOffset>
            </wp:positionV>
            <wp:extent cx="6591300" cy="8061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extLst>
                    </a:blip>
                    <a:srcRect/>
                    <a:stretch>
                      <a:fillRect/>
                    </a:stretch>
                  </pic:blipFill>
                  <pic:spPr bwMode="auto">
                    <a:xfrm>
                      <a:off x="0" y="0"/>
                      <a:ext cx="6591300" cy="806132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10280"/>
          </w:cols>
          <w:pgMar w:left="1000" w:top="22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280"/>
          </w:cols>
          <w:pgMar w:left="1000" w:top="220" w:right="960" w:bottom="0" w:gutter="0" w:footer="0" w:header="0"/>
          <w:type w:val="continuous"/>
        </w:sectPr>
      </w:pPr>
    </w:p>
    <w:bookmarkStart w:id="65" w:name="page66"/>
    <w:bookmarkEnd w:id="65"/>
    <w:p>
      <w:pPr>
        <w:ind w:left="1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NCR Voyix Corporation</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NCR Stockholders</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40" w:type="dxa"/>
            <w:vAlign w:val="bottom"/>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3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3"/>
                <w:szCs w:val="13"/>
                <w:color w:val="auto"/>
              </w:rPr>
            </w:pPr>
          </w:p>
        </w:tc>
        <w:tc>
          <w:tcPr>
            <w:tcW w:w="7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3"/>
                <w:szCs w:val="13"/>
                <w:color w:val="auto"/>
              </w:rPr>
            </w:pPr>
          </w:p>
        </w:tc>
        <w:tc>
          <w:tcPr>
            <w:tcW w:w="12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Interests in</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40" w:type="dxa"/>
            <w:vAlign w:val="bottom"/>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(Loss) Income</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1,067</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1,471</w:t>
            </w:r>
          </w:p>
        </w:tc>
        <w:tc>
          <w:tcPr>
            <w:tcW w:w="0" w:type="dxa"/>
            <w:vAlign w:val="bottom"/>
          </w:tcPr>
          <w:p>
            <w:pPr>
              <w:spacing w:after="0"/>
              <w:rPr>
                <w:sz w:val="1"/>
                <w:szCs w:val="1"/>
                <w:color w:val="auto"/>
              </w:rPr>
            </w:pPr>
          </w:p>
        </w:tc>
      </w:tr>
      <w:tr>
        <w:trPr>
          <w:trHeight w:val="25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61"/>
        </w:trPr>
        <w:tc>
          <w:tcPr>
            <w:tcW w:w="3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5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purchase and stock compensation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5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preferred stock dividends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61"/>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Spin-Off of NCR Atleos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874</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0" w:type="dxa"/>
            <w:vAlign w:val="bottom"/>
          </w:tcPr>
          <w:p>
            <w:pPr>
              <w:spacing w:after="0"/>
              <w:rPr>
                <w:sz w:val="1"/>
                <w:szCs w:val="1"/>
                <w:color w:val="auto"/>
              </w:rPr>
            </w:pPr>
          </w:p>
        </w:tc>
      </w:tr>
      <w:tr>
        <w:trPr>
          <w:trHeight w:val="25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261"/>
        </w:trPr>
        <w:tc>
          <w:tcPr>
            <w:tcW w:w="3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5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purchase and stock compensation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5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preferred stock dividends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5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Spin-Off of NCR Atleos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61"/>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Company common stock</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5"/>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866</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931</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61"/>
        </w:trPr>
        <w:tc>
          <w:tcPr>
            <w:tcW w:w="38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5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purchase and stock compensation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77"/>
        </w:trPr>
        <w:tc>
          <w:tcPr>
            <w:tcW w:w="38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Deemed dividend from redemption of Series A preferred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preferred stock dividends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55"/>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Spin-Off of NCR Atleos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1"/>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Company common stock</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5"/>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827</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559</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-4631690</wp:posOffset>
            </wp:positionV>
            <wp:extent cx="6772275" cy="46513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extLst>
                    </a:blip>
                    <a:srcRect/>
                    <a:stretch>
                      <a:fillRect/>
                    </a:stretch>
                  </pic:blipFill>
                  <pic:spPr bwMode="auto">
                    <a:xfrm>
                      <a:off x="0" y="0"/>
                      <a:ext cx="6772275" cy="4651375"/>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10540"/>
          </w:cols>
          <w:pgMar w:left="880" w:top="2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540"/>
          </w:cols>
          <w:pgMar w:left="880" w:top="220" w:right="82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NCR Voyix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 AND SIGNIFICANT ACCOUNTING POLICIES</w:t>
      </w:r>
    </w:p>
    <w:p>
      <w:pPr>
        <w:spacing w:after="0" w:line="25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Description of Business </w:t>
      </w:r>
      <w:r>
        <w:rPr>
          <w:rFonts w:ascii="Times New Roman" w:cs="Times New Roman" w:eastAsia="Times New Roman" w:hAnsi="Times New Roman"/>
          <w:sz w:val="20"/>
          <w:szCs w:val="20"/>
          <w:color w:val="auto"/>
        </w:rPr>
        <w:t>NCR Voyix Corporation (“NCR Voyix”, “NCR”, the “Company”, “we” or “us”) is a global provider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unified commerce technology, primarily focused on delivering software solutions and service offerings to retail and restaurant businesses of all sizes. Subsequent to the Digital Banking Sale and the spin-off of NCR Atleos, as described below, the Company manages and reports in two segments: Retail and Restaurants.</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Spin-off of NCR Atleos </w:t>
      </w:r>
      <w:r>
        <w:rPr>
          <w:rFonts w:ascii="Times New Roman" w:cs="Times New Roman" w:eastAsia="Times New Roman" w:hAnsi="Times New Roman"/>
          <w:sz w:val="20"/>
          <w:szCs w:val="20"/>
          <w:color w:val="auto"/>
        </w:rPr>
        <w:t>On October 16, 2023, we completed the spin-off of our ATM-focused business, including our self-service banking, payments &amp; network, and telecommunications and technology businesses, into an independent publicly traded company, NCR Atleos Corporation and its consolidated subsidiaries (collectively hereinafter “NCR Atleos”). The spin-off of NCR Atleos (the “Spin-Off”) was effectuated through a pro rata distribution of all outstanding shares of NCR Atleos common stock to holders of our common stock as of the close of business on October 2, 2023 (the “record date”). We distributed one share of NCR Atleos common stock for every two common shares of our outstanding common stock as of the record date. Shareholders received cash in lieu of fractional shares of Atleos common stock. The Spin-Off is expected to qualify as a tax-free distribution for U.S. federal income tax purposes. The Company retains no ownership interest in NCR Atleos. The accounting requirements for reporting the Spin-Off of NCR Atleos as a discontinued operation were met when the separation was completed. Accordingly, the financial results for NCR Atleos for the years ended December 31, 2025, 2024 and 2023 are presented as net income (loss) from discontinued operations, net of tax on the Consolidated Statements of Operations and its assets and liabilities as of December 31, 2024 are reclassified as discontinued operations in the Consolidated Balance Sheets. Refer to Note 2, “Discontinued Operations” for additional information.</w:t>
      </w:r>
    </w:p>
    <w:p>
      <w:pPr>
        <w:spacing w:after="0" w:line="21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 connection with the Spin-Off, we entered into various agreements with NCR Atleos to effectuate the Spin-Off, and to provide a framework for the relationship between the Company and NCR Atleos after the Spin-Off. Such agreements include the separation and distribution agreement, as well as the following ongoing agreements: a tax matters agreement, employee matters agreement, patent and technology cross-license agreement, trademark license and use agreement, master services agreement and various other transaction agreements. While many of the performance obligations of the Company and NCR Atleos have been satisfied or have otherwise expired, we continue to provide certain limited services to NCR Atleos and receive certain limited services from NCR Atleos pursuant to the terms of the master services agreement.</w:t>
      </w:r>
    </w:p>
    <w:p>
      <w:pPr>
        <w:spacing w:after="0" w:line="20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Sale of Digital Banking </w:t>
      </w:r>
      <w:r>
        <w:rPr>
          <w:rFonts w:ascii="Times New Roman" w:cs="Times New Roman" w:eastAsia="Times New Roman" w:hAnsi="Times New Roman"/>
          <w:sz w:val="20"/>
          <w:szCs w:val="20"/>
          <w:color w:val="auto"/>
        </w:rPr>
        <w:t>On September 30, 2024, the Company completed the sale of its Digital Banking segment businesses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“Digital Banking Sale”) to an affiliate of The Veritas Capital Fund VIII, L.P. (the “Buyer”). The purchase price for the transaction was $2.45 billion in cash, subject to a post-closing adjustment, as well as contingent consideration of up to an additional $100 million in cash upon the achievement of a specified return on the Buyer’s invested capital at the time of any future sale. The Company records contingent consideration at fair value based on the consideration expected to be transferred, which was estimated to be zero as of December 31, 2025. The accounting requirements for reporting the Digital Banking Sale as a discontinued operation were met when the definitive agreement was signed. Accordingly, the financial results for Digital Banking for the years ended December 31, 2024 and 2023 are presented as net income (loss) from discontinued operations, net of tax on the Consolidated Statements of Operations. Refer to Note 2, “Discontinued Operations” for additional information. In connection with the Digital Banking Sale, the Company and the Buyer entered into certain agreements, including a transition services agreement, providing for the performance of certain services by the Company for the benefit of the Buyer for a period of time after the Digital Banking Sale.</w:t>
      </w:r>
    </w:p>
    <w:p>
      <w:pPr>
        <w:spacing w:after="0" w:line="21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Transition of Hardware Business to ODM Model </w:t>
      </w:r>
      <w:r>
        <w:rPr>
          <w:rFonts w:ascii="Times New Roman" w:cs="Times New Roman" w:eastAsia="Times New Roman" w:hAnsi="Times New Roman"/>
          <w:sz w:val="20"/>
          <w:szCs w:val="20"/>
          <w:color w:val="auto"/>
        </w:rPr>
        <w:t>In August 2024, the Company announced its entry into a commercial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with Ennoconn Corporation (“Ennoconn”) to transition its self-checkout and point-of-sale hardware businesses to an outsourced design and manufacturing (“ODM”) model, including the sale of certain assets relating to these businesses (the “Hardware Business Transition”). Under the terms of the agreement, Ennoconn will design, manufacture, warrant, supply, and ship self-checkout and point-of sale hardware directly to the Company’s customers, and we will sell hardware to our customers as a sales agent for Ennoconn and continue to provide our point-of sale and self-checkout software as well as key support and maintenance services. As a result of the anticipated Hardware Business Transition, we expect to record commission revenue from point-of-sale and self-checkout hardware sales as an agent for Ennoconn on a net basis, excluding the costs paid to Ennoconn. In January 2026, we announced the commencement of the implementation phase of the Hardware Business Transition.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260"/>
          </w:cols>
          <w:pgMar w:left="1000" w:top="220" w:right="9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The preparation of financial statements in accordance with generally accepted accounting principles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United States (“GAAP”) requires management to make estimates and judgments that affect the reported amounts of assets and liabilities, the disclosure of contingent assets and liabilities at the date of the financial statements, and revenue and expenses during the periods reported.</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Although our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macroeconomic pressures and geopolitical challenges. The ultimate impact on our overall financial condition and operating results will depend on supply chain challenges and cost escalations including materials, interest, labor and freight, and any additional governmental and public actions taken in response. As a result, our accounting estimates and assumptions may change over time as a consequence of the effects these external factors. Such changes could result in future impairments of goodwill, intangible assets, long-lived assets, incremental credit losses on accounts receivable and decreases in the carrying amount of our tax assets.</w:t>
      </w:r>
    </w:p>
    <w:p>
      <w:pPr>
        <w:spacing w:after="0" w:line="2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Evaluation of Subsequent Events </w:t>
      </w:r>
      <w:r>
        <w:rPr>
          <w:rFonts w:ascii="Times New Roman" w:cs="Times New Roman" w:eastAsia="Times New Roman" w:hAnsi="Times New Roman"/>
          <w:sz w:val="20"/>
          <w:szCs w:val="20"/>
          <w:color w:val="auto"/>
        </w:rPr>
        <w:t>The Company evaluated subsequent events through the date that our Consolidated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were issued. Other than the items discussed within the Notes to Consolidated Financial Statements, no matters were identified that required adjustment of the Consolidated Financial Statements or additional disclosure.</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Basis of Consolidation </w:t>
      </w:r>
      <w:r>
        <w:rPr>
          <w:rFonts w:ascii="Times New Roman" w:cs="Times New Roman" w:eastAsia="Times New Roman" w:hAnsi="Times New Roman"/>
          <w:sz w:val="20"/>
          <w:szCs w:val="20"/>
          <w:color w:val="auto"/>
        </w:rPr>
        <w:t>The consolidated financial statements include the accounts of NCR Voyix and its majority-owned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Long-term investments in affiliated companies in which NCR Voyix owns between 20% and 50%, and therefore, exercises significant influence, but which it does not control, are accounted for using the equity method. Investments in which NCR Voyix does not exercise significant influence (generally, when the Company has an investment of less than 20% and no significant influence, such as representation on the investee’s board of directors) are accounted for using the cost method. All inter-company transactions and accounts have been eliminated. In addition, the Company is required to determine whether it is the primary beneficiary of economic income or losses that may be generated by variable interest entities in which the Company has such an interest. In circumstances where the Company determined it is the primary beneficiary, consolidation of that entity would be required. For the periods presented, no variable interest entities have been consolidated.</w:t>
      </w:r>
    </w:p>
    <w:p>
      <w:pPr>
        <w:spacing w:after="0" w:line="2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Reclassifications </w:t>
      </w:r>
      <w:r>
        <w:rPr>
          <w:rFonts w:ascii="Times New Roman" w:cs="Times New Roman" w:eastAsia="Times New Roman" w:hAnsi="Times New Roman"/>
          <w:sz w:val="20"/>
          <w:szCs w:val="20"/>
          <w:color w:val="auto"/>
        </w:rPr>
        <w:t>Certain prior-period amounts have been reclassified in the accompanying Consolidated Financial Statements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Notes thereto in order to conform to the current period presentation.</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Revision </w:t>
      </w:r>
      <w:r>
        <w:rPr>
          <w:rFonts w:ascii="Times New Roman" w:cs="Times New Roman" w:eastAsia="Times New Roman" w:hAnsi="Times New Roman"/>
          <w:sz w:val="20"/>
          <w:szCs w:val="20"/>
          <w:color w:val="auto"/>
        </w:rPr>
        <w:t>During the third quarter of 2025, the Company identified errors in previously issued financial statements related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historical pre-Spin-Off operations of NCR Atleos that impact their revenue and certain expense items which were reported as Income (loss) from discontinued operations. The Company evaluated the impact of these errors and concluded that they were immaterial to all previously issued financial statements, individually and in the aggregate. However, the Company is revising the previously issued financial statements to correct these errors, as well as certain previously identified out-of-period adjustments related to the Spin-Off, into the appropriate period (fiscal 2023). The correction of these items resulted in a decrease to previously reported net income (loss) from discontinued operations, net of tax, of $5 million and $6 million for the years ended December 31, 2023 and 2022, respectively. The correction also resulted in a $0.04 and $0.04 per share decrease to previously reported basic and diluted earnings per share from discontinued operations for 2023 and 2022, respectively, with the same impact to total net income per share. The net impact of this revision decreases the opening balance of retained earnings (deficit) by $8 million at December 31, 2022 as compared to what was previously reported. The net impact of this revision increases retained earnings (deficit) by $12 million and increases accumulated other comprehensive income (loss) by $10 million at December 31, 2023 as compared to what was previously reported. The impact of the revision did not affect the Company’s reported balances of continuing operations or cash flows for any reporting period.</w:t>
      </w:r>
    </w:p>
    <w:p>
      <w:pPr>
        <w:spacing w:after="0" w:line="2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Out-of-period adjustments </w:t>
      </w:r>
      <w:r>
        <w:rPr>
          <w:rFonts w:ascii="Times New Roman" w:cs="Times New Roman" w:eastAsia="Times New Roman" w:hAnsi="Times New Roman"/>
          <w:sz w:val="20"/>
          <w:szCs w:val="20"/>
          <w:color w:val="auto"/>
        </w:rPr>
        <w:t>In the first quarter of 2023, the Company recorded a $10 million out-of-period adjustment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increase operating expenses and increase an employee-related liability in order to correct for an understatement of such same balances during the fourth quarter of 2022.</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In the second quarter of 2024, the Company recorded an out-of-period adjustment to decrease revenue by $10 million, decrease accounts receivable by $5 million, and increase contract liabilities by $5 million. The amount related to periods prior to 2024 was $4 million of revenue.</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the third quarter of 2024, the Company recorded an out-of-period adjustment related to foreign currency to increase other expense, net, by approximately $8 million, increase other current liabilities by approximately $4 million and increase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260"/>
          </w:cols>
          <w:pgMar w:left="1000" w:top="220" w:right="9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accumulated other comprehensive income (loss) by approximately $4 million. The amount related to 2023 was $2 million of other expense, net.</w:t>
      </w:r>
    </w:p>
    <w:p>
      <w:pPr>
        <w:spacing w:after="0" w:line="20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evaluated the impact of the out-of-period adjustments and concluded they are not material to the consolidated financial statements for any of the periods presented.</w:t>
      </w:r>
    </w:p>
    <w:p>
      <w:pPr>
        <w:spacing w:after="0" w:line="17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ACH disbursements </w:t>
      </w:r>
      <w:r>
        <w:rPr>
          <w:rFonts w:ascii="Times New Roman" w:cs="Times New Roman" w:eastAsia="Times New Roman" w:hAnsi="Times New Roman"/>
          <w:sz w:val="20"/>
          <w:szCs w:val="20"/>
          <w:color w:val="auto"/>
        </w:rPr>
        <w:t>In February 2024, the Company identified fraudulent automated clearing house (“ACH”) disbursements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a Company bank account. The cumulative amount of these disbursements total $34 million. As of December 31, 2025, the Company has recovered approximately $16 million of fraudulent disbursements from the Company’s banks and continues to pursue insurance recoveries in connection with this matter. The amount of these disbursements through December 31, 2023 was $5 million. Through September 30, 2023, the Company had incorrectly recorded approximately $11 million in an accounts receivable clearing account instead of as operating expenses, of which approximately $2 million related to annual periods prior to 2023. As a result, in the fourth quarter of 2023, the Company recorded a $2 million out-of-period adjustment to increase operating expenses and decrease accounts receivable in order to correct for the errors.</w:t>
      </w:r>
    </w:p>
    <w:p>
      <w:pPr>
        <w:spacing w:after="0" w:line="2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evaluated the impact of the errors and out-of-period adjustments and concluded they are not material to any previously issued consolidated financial statements and the correction of the errors is not material to the consolidated financial statements for the year ended December 31, 2023.</w:t>
      </w:r>
    </w:p>
    <w:p>
      <w:pPr>
        <w:spacing w:after="0" w:line="19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Cyber ransomware incident </w:t>
      </w:r>
      <w:r>
        <w:rPr>
          <w:rFonts w:ascii="Times New Roman" w:cs="Times New Roman" w:eastAsia="Times New Roman" w:hAnsi="Times New Roman"/>
          <w:sz w:val="20"/>
          <w:szCs w:val="20"/>
          <w:color w:val="auto"/>
        </w:rPr>
        <w:t>On April 13, 2023, the Company determined that a single data center outage impacting certain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commerce customers was caused by a cyber ransomware incident. Upon such determination, the Company immediately started contacting customers, enacted its cybersecurity protocol and engaged outside experts to contain the incident and begin the recovery process. We concluded that this incident impacted operations for some customers only with respect to specific Aloha cloud-based services and Counterpoint. Our investigation also concluded no financial reporting systems were impacted. As of December 31, 2025, the Company has incurred a cumulative $47 million of expenses related to the cyber ransomware incident and has recovered $37 million of these costs under our insurance policies. We are still pursuing insurance recoveries in connection with this matter. We may incur additional costs relating to this incident in the future, including expenses to respond to this matter, payment of damages or other costs to customers or others. At this time we do not believe additional costs incurred as a result of the incident will ultimately have a material adverse effect on our business, results of operations or financial condition; however, we remain subject to risks and uncertainties as a result of the incident.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Revenue Recognition </w:t>
      </w:r>
      <w:r>
        <w:rPr>
          <w:rFonts w:ascii="Times New Roman" w:cs="Times New Roman" w:eastAsia="Times New Roman" w:hAnsi="Times New Roman"/>
          <w:sz w:val="20"/>
          <w:szCs w:val="20"/>
          <w:color w:val="auto"/>
        </w:rPr>
        <w:t>The Company derives its revenues from both products and services:</w:t>
      </w:r>
    </w:p>
    <w:p>
      <w:pPr>
        <w:spacing w:after="0" w:line="74" w:lineRule="exact"/>
        <w:rPr>
          <w:sz w:val="20"/>
          <w:szCs w:val="20"/>
          <w:color w:val="auto"/>
        </w:rPr>
      </w:pPr>
    </w:p>
    <w:p>
      <w:pPr>
        <w:ind w:left="720" w:hanging="370"/>
        <w:spacing w:after="0"/>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revenue comprises sales of hardware and on-premise software licenses.</w:t>
      </w:r>
    </w:p>
    <w:p>
      <w:pPr>
        <w:spacing w:after="0" w:line="7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 revenue comprises sales of software-as-a-service (“SaaS”) solutions, software maintenance, professional services, installation services, payment processing and hardware maintenance.</w:t>
      </w:r>
    </w:p>
    <w:p>
      <w:pPr>
        <w:spacing w:after="0" w:line="1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 xml:space="preserve">Revenue is recognized, net of sales tax, when the Company transfers control of promised products and services to customers in an amount that reflects the consideration the Company expects to receive in exchange for those products and services. Accordingly, the Company follows the five-step revenue recognition model in accordance with ASC 606 </w:t>
      </w:r>
      <w:r>
        <w:rPr>
          <w:rFonts w:ascii="Times New Roman" w:cs="Times New Roman" w:eastAsia="Times New Roman" w:hAnsi="Times New Roman"/>
          <w:sz w:val="20"/>
          <w:szCs w:val="20"/>
          <w:b w:val="1"/>
          <w:bCs w:val="1"/>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Contracts with Customers</w:t>
      </w:r>
      <w:r>
        <w:rPr>
          <w:rFonts w:ascii="Times New Roman" w:cs="Times New Roman" w:eastAsia="Times New Roman" w:hAnsi="Times New Roman"/>
          <w:sz w:val="20"/>
          <w:szCs w:val="20"/>
          <w:color w:val="auto"/>
        </w:rPr>
        <w:t>:</w:t>
      </w:r>
    </w:p>
    <w:p>
      <w:pPr>
        <w:spacing w:after="0" w:line="20" w:lineRule="exact"/>
        <w:rPr>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and</w:t>
      </w:r>
    </w:p>
    <w:p>
      <w:pPr>
        <w:spacing w:after="0" w:line="7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Company satisfies the performance obligations.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revenue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For hardware products, control is generally transferred when the customer has the ability to direct the use of and obtain substantially all of the remaining benefits of the products, which generally coincides with when the customer has assumed title and risk of loss of the products sold. Title and risk of loss typically transfer to the customer upon shipment or delivery to the customer, depending on the terms of the contract. The Company’s customers may request that delivery and passage of title and risk of loss occur on a bill and hold basis. For the periods ending December 31, 2025, 2024, and 2023, the revenue recognized from bill and hold transactions approximated less than 2% of total revenue.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260"/>
          </w:cols>
          <w:pgMar w:left="1000" w:top="220" w:right="98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accounts for shipping and handling activities related to hardware deliveries as costs to fulfill the promise to transfer the associated products, rather than as a separate performance obligation. Accordingly, amounts billed for shipping and handling costs are recorded as a component of net product sales and associated costs are classified as a component of cost of products.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Software licenses may be sold as perpetual licenses or term-based licenses as part of subscription offerings. Perpetual software license revenue is recognized at a point in time when control transfers to the customer. Control is typically transferred when the customer takes possession of, or has access to, the software. Term-based license revenue is recognized at a point in time upon the commencement of the committed term of the subscription, concurrent with the possession of the license. The committed term of the contract can vary due to customer termination rights, when offered.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Service revenue</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SaaS revenue primarily consists of subscription fees for providing customers access to the Company’s platform and cloud-based applications. SaaS revenue is recognized either as variable consideration directly allocated to periods based on customer usage or on a ratable basis over the contract beginning on the date that the service is made available to the customer.</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also sells subscriptions that include a combination of cloud-based services and on-premise term-based software licenses for a specified contract term. Significant judgment is required to determine if the products and services represent distinct promises to the customer or if they should be combined into one performance obligation. When they are combined into one performance obligation, revenue is recognized ratably over the contract term for which the service is provided.</w:t>
      </w:r>
    </w:p>
    <w:p>
      <w:pPr>
        <w:spacing w:after="0" w:line="20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 xml:space="preserve">Payment processing revenue primarily includes processing solutions for credit cards and debit cards. Under these contracts, the Company provides its customers continuous access to processing services, standing ready to process as many transactions as required over the contract term. As such, revenue is recognized daily as the services are performed. The Company follows the requirements of ASC 606-10, </w:t>
      </w:r>
      <w:r>
        <w:rPr>
          <w:rFonts w:ascii="Times New Roman" w:cs="Times New Roman" w:eastAsia="Times New Roman" w:hAnsi="Times New Roman"/>
          <w:sz w:val="20"/>
          <w:szCs w:val="20"/>
          <w:b w:val="1"/>
          <w:bCs w:val="1"/>
          <w:i w:val="1"/>
          <w:iCs w:val="1"/>
          <w:color w:val="auto"/>
        </w:rPr>
        <w:t>Principal Agent Considerations</w:t>
      </w:r>
      <w:r>
        <w:rPr>
          <w:rFonts w:ascii="Times New Roman" w:cs="Times New Roman" w:eastAsia="Times New Roman" w:hAnsi="Times New Roman"/>
          <w:sz w:val="20"/>
          <w:szCs w:val="20"/>
          <w:color w:val="auto"/>
        </w:rPr>
        <w:t xml:space="preserve"> in determining whether the Company is acting as principal or as agent. Based on this analysis, revenue for these processing services is recorded net of interchange fees and assessments charged by card issuers and payment networks, as these are pass-through charges collected on their behalf.</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All other services revenue consists of software maintenance, professional services, installation services and hardware maintenance. When the Company stands ready to perform these services, control is transferred and revenue is recognized ratably over the contractual period, or if applicable, after customer acceptance. Otherwise, the Company applies the ‘right to invoice’ practical expedient, for performance obligations satisfied and recognized as the services are provided and the Company invoices correspond directly with the value of the Company’s performance to date.</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Company periodically offers extended warranties, in addition to standard product warranties, in the form of product maintenance services and recognizes revenue over the service term.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revenue considerations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enters into contracts that include multiple distinct performance obligations consisting of both products and services. For these arrangements, the Company allocates the transaction price, at contract inception, to each distinct performance obligation on a relative standalone selling price basis. The primary method used to determine standalone selling price is the price that the Company charges for that good or service when the Company sells it separately in similar circumstances to similar customers.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nature of these arrangements can give rise to several types of variable consideration, including service level agreement credits, stock rotation rights, trade-in credits and volume-based rebates. At contract inception, the Company estimates variable consideration and includes it in the transaction price when there is a basis to reasonably estimate the amount of the fee and it is probable there will not be a significant reversal. These estimates are reassessed at each reporting date. Otherwise, variable consideration is constrained and revenue is recognized as control is transferred and it is probable that a significant revenue reversal will not occur.</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Standard payment terms with customers are established based on industry and regional practices and are generally 30 days. When the period between the Company’s transfer of a product or service and when the customer payment does not exceed 12 months, we do not adjust for the effects of a significant financing component.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260"/>
          </w:cols>
          <w:pgMar w:left="1000" w:top="220" w:right="9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Remaining Performance Obligations </w:t>
      </w:r>
      <w:r>
        <w:rPr>
          <w:rFonts w:ascii="Times New Roman" w:cs="Times New Roman" w:eastAsia="Times New Roman" w:hAnsi="Times New Roman"/>
          <w:sz w:val="20"/>
          <w:szCs w:val="20"/>
          <w:color w:val="auto"/>
        </w:rPr>
        <w:t>Remaining performance obligations represent the transaction price of contracts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products have not been delivered or services have not been performed. As of December 31, 2025, the aggregate amount of the transaction price allocated to remaining performance obligations was approximately $1.3 billion. The Company expects to recognize revenue on approximately three-quarters of the remaining performance obligations over the next 12 months, with the remainder recognized thereafter. The majority of our professional services are expected to be recognized over the next 12 months but this is contingent upon a number of factors, including customers’ needs and schedules.</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has made three elections which affect the value of remaining performance obligations described above. We do not disclose remaining performance obligations for contracts where variable consideration is directly allocated based on usage or when the original expected duration is one year or less. Additionally, we do not disclose remaining performance obligations for contracts where we recognize revenue from the satisfaction of the performance obligation in accordance with the ‘right to invoice’ practical expedient.</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Warranty and Sales Returns </w:t>
      </w:r>
      <w:r>
        <w:rPr>
          <w:rFonts w:ascii="Times New Roman" w:cs="Times New Roman" w:eastAsia="Times New Roman" w:hAnsi="Times New Roman"/>
          <w:sz w:val="20"/>
          <w:szCs w:val="20"/>
          <w:color w:val="auto"/>
        </w:rPr>
        <w:t>Provisions for product warranties and sales returns and allowances are recorded in the period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the Company becomes obligated to honor the related right, which generally is the period in which the related product revenue is recognized. The Company accrues warranty reserves based upon historical factors such as labor rates, average repair time, travel time, number of service calls per machine and cost of replacement parts. When a sale is consummated, a warranty reserve is recorded based upon the estimated cost to provide the service over the warranty period. The Company accrues sales returns and allowances using percentages of revenue to reflect the Company’s historical average of sales return claims.</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Research and Development Costs </w:t>
      </w:r>
      <w:r>
        <w:rPr>
          <w:rFonts w:ascii="Times New Roman" w:cs="Times New Roman" w:eastAsia="Times New Roman" w:hAnsi="Times New Roman"/>
          <w:sz w:val="20"/>
          <w:szCs w:val="20"/>
          <w:color w:val="auto"/>
        </w:rPr>
        <w:t>Research and development costs primarily include payroll and benefit-related costs,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contractor fees, facilities costs, infrastructure costs, and administrative expenses directly related to research and development support and are expensed as incurred, except certain software development costs are capitalized after technological feasibility of the software is established.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Advertising </w:t>
      </w:r>
      <w:r>
        <w:rPr>
          <w:rFonts w:ascii="Times New Roman" w:cs="Times New Roman" w:eastAsia="Times New Roman" w:hAnsi="Times New Roman"/>
          <w:sz w:val="20"/>
          <w:szCs w:val="20"/>
          <w:color w:val="auto"/>
        </w:rPr>
        <w:t>Advertising costs are recognized in selling, general and administrative expenses when incurred.</w:t>
      </w:r>
    </w:p>
    <w:p>
      <w:pPr>
        <w:spacing w:after="0" w:line="25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Stock-based Compensation </w:t>
      </w:r>
      <w:r>
        <w:rPr>
          <w:rFonts w:ascii="Times New Roman" w:cs="Times New Roman" w:eastAsia="Times New Roman" w:hAnsi="Times New Roman"/>
          <w:sz w:val="20"/>
          <w:szCs w:val="20"/>
          <w:color w:val="auto"/>
        </w:rPr>
        <w:t>Stock-based compensation represents the costs related to share-based awards granted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and non-employee directors. The Company’s outstanding stock-based compensation awards are classified as equity. The Company measures stock-based compensation cost at the grant date, based on the estimated fair value of the award and recognizes the cost over the requisite service period. Forfeitures are recognized as they occur. See Note 9, “Stock Compensation Plans”, for further information on the Company’s stock-based compensation plans.</w:t>
      </w:r>
    </w:p>
    <w:p>
      <w:pPr>
        <w:spacing w:after="0" w:line="19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Income Taxes </w:t>
      </w:r>
      <w:r>
        <w:rPr>
          <w:rFonts w:ascii="Times New Roman" w:cs="Times New Roman" w:eastAsia="Times New Roman" w:hAnsi="Times New Roman"/>
          <w:sz w:val="20"/>
          <w:szCs w:val="20"/>
          <w:color w:val="auto"/>
        </w:rPr>
        <w:t>Income tax expense is provided based on income before income taxes. Deferred income taxes reflect the impact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temporary differences between assets and liabilities recognized for financial reporting purposes and such amounts recognized for tax purposes. These deferred taxes are determined based on the enacted tax rates expected to apply in the periods in which the deferred assets or liabilities are expected to be settled or realized. The Company records valuation allowances related to its deferred income tax assets when it is more likely than not that some portion or all of the deferred income tax assets will not be realized.</w:t>
      </w:r>
    </w:p>
    <w:p>
      <w:pPr>
        <w:spacing w:after="0" w:line="20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fifty percent likelihood of being sustained upon examination by authorities. Interest and penalties related to uncertain tax positions are recognized as part of the provision for income taxes and are accrued beginning in the period that such interest and penalties would be applicable under relevant tax law and until such time that the related tax benefits are recognized.</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Cash, Cash Equivalents, and Restricted Cash </w:t>
      </w:r>
      <w:r>
        <w:rPr>
          <w:rFonts w:ascii="Times New Roman" w:cs="Times New Roman" w:eastAsia="Times New Roman" w:hAnsi="Times New Roman"/>
          <w:sz w:val="20"/>
          <w:szCs w:val="20"/>
          <w:color w:val="auto"/>
        </w:rPr>
        <w:t>All short-term, highly liquid investments having original maturities of three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months or less, including time deposits, are considered to be cash equivalents. As of December 31, 2025, 2024 and 2023, the Company has restricted cash on deposit with a bank as collateral for letters of credit as well as cash included in settlement processing assets.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260"/>
          </w:cols>
          <w:pgMar w:left="1000" w:top="220" w:right="98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reconciliation of cash, cash equivalents and restricted cash in the Consolidated Statements of Cash Flows is as follows: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Balance Sheet Location</w:t>
            </w:r>
          </w:p>
        </w:tc>
        <w:tc>
          <w:tcPr>
            <w:tcW w:w="120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20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20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300" w:type="dxa"/>
            <w:vAlign w:val="bottom"/>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2"/>
        </w:trPr>
        <w:tc>
          <w:tcPr>
            <w:tcW w:w="43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16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Cash and cash</w:t>
            </w:r>
          </w:p>
        </w:tc>
        <w:tc>
          <w:tcPr>
            <w:tcW w:w="300" w:type="dxa"/>
            <w:vAlign w:val="bottom"/>
            <w:vMerge w:val="restart"/>
          </w:tcPr>
          <w:p>
            <w:pPr>
              <w:jc w:val="right"/>
              <w:ind w:right="45"/>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231</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256</w:t>
            </w:r>
          </w:p>
        </w:tc>
        <w:tc>
          <w:tcPr>
            <w:tcW w:w="0" w:type="dxa"/>
            <w:vAlign w:val="bottom"/>
          </w:tcPr>
          <w:p>
            <w:pPr>
              <w:spacing w:after="0"/>
              <w:rPr>
                <w:sz w:val="1"/>
                <w:szCs w:val="1"/>
                <w:color w:val="auto"/>
              </w:rPr>
            </w:pPr>
          </w:p>
        </w:tc>
      </w:tr>
      <w:tr>
        <w:trPr>
          <w:trHeight w:val="260"/>
        </w:trPr>
        <w:tc>
          <w:tcPr>
            <w:tcW w:w="4300" w:type="dxa"/>
            <w:vAlign w:val="bottom"/>
            <w:vMerge w:val="continue"/>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equivalents</w:t>
            </w:r>
          </w:p>
        </w:tc>
        <w:tc>
          <w:tcPr>
            <w:tcW w:w="30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Short term restricted cash</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Restricted cash</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00"/>
        </w:trPr>
        <w:tc>
          <w:tcPr>
            <w:tcW w:w="4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Long term restricted cash</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Other assets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4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included in settlement processing assets</w:t>
            </w:r>
          </w:p>
        </w:tc>
        <w:tc>
          <w:tcPr>
            <w:tcW w:w="2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Restricted cash</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80"/>
        </w:trPr>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cash, cash equivalents and restricted cash</w:t>
            </w:r>
          </w:p>
        </w:tc>
        <w:tc>
          <w:tcPr>
            <w:tcW w:w="2160" w:type="dxa"/>
            <w:vAlign w:val="bottom"/>
          </w:tcPr>
          <w:p>
            <w:pPr>
              <w:spacing w:after="0"/>
              <w:rPr>
                <w:sz w:val="24"/>
                <w:szCs w:val="24"/>
                <w:color w:val="auto"/>
              </w:rPr>
            </w:pPr>
          </w:p>
        </w:tc>
        <w:tc>
          <w:tcPr>
            <w:tcW w:w="300" w:type="dxa"/>
            <w:vAlign w:val="bottom"/>
          </w:tcPr>
          <w:p>
            <w:pPr>
              <w:jc w:val="right"/>
              <w:ind w:right="45"/>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279</w:t>
            </w:r>
          </w:p>
        </w:tc>
        <w:tc>
          <w:tcPr>
            <w:tcW w:w="0" w:type="dxa"/>
            <w:vAlign w:val="bottom"/>
          </w:tcPr>
          <w:p>
            <w:pPr>
              <w:spacing w:after="0"/>
              <w:rPr>
                <w:sz w:val="1"/>
                <w:szCs w:val="1"/>
                <w:color w:val="auto"/>
              </w:rPr>
            </w:pPr>
          </w:p>
        </w:tc>
      </w:tr>
      <w:tr>
        <w:trPr>
          <w:trHeight w:val="212"/>
        </w:trPr>
        <w:tc>
          <w:tcPr>
            <w:tcW w:w="4300" w:type="dxa"/>
            <w:vAlign w:val="bottom"/>
          </w:tcPr>
          <w:p>
            <w:pPr>
              <w:ind w:left="240"/>
              <w:spacing w:after="0" w:line="212" w:lineRule="exact"/>
              <w:rPr>
                <w:sz w:val="20"/>
                <w:szCs w:val="20"/>
                <w:color w:val="auto"/>
              </w:rPr>
            </w:pPr>
            <w:r>
              <w:rPr>
                <w:rFonts w:ascii="Times New Roman" w:cs="Times New Roman" w:eastAsia="Times New Roman" w:hAnsi="Times New Roman"/>
                <w:sz w:val="20"/>
                <w:szCs w:val="20"/>
                <w:color w:val="auto"/>
              </w:rPr>
              <w:t>Cash, cash equivalents and restricted cash of</w:t>
            </w:r>
          </w:p>
        </w:tc>
        <w:tc>
          <w:tcPr>
            <w:tcW w:w="2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63"/>
        </w:trPr>
        <w:tc>
          <w:tcPr>
            <w:tcW w:w="43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discontinued operations</w:t>
            </w:r>
          </w:p>
        </w:tc>
        <w:tc>
          <w:tcPr>
            <w:tcW w:w="2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cash, cash equivalents and restricted cash</w:t>
            </w:r>
          </w:p>
        </w:tc>
        <w:tc>
          <w:tcPr>
            <w:tcW w:w="2160" w:type="dxa"/>
            <w:vAlign w:val="bottom"/>
          </w:tcPr>
          <w:p>
            <w:pPr>
              <w:spacing w:after="0"/>
              <w:rPr>
                <w:sz w:val="22"/>
                <w:szCs w:val="22"/>
                <w:color w:val="auto"/>
              </w:rPr>
            </w:pPr>
          </w:p>
        </w:tc>
        <w:tc>
          <w:tcPr>
            <w:tcW w:w="300" w:type="dxa"/>
            <w:vAlign w:val="bottom"/>
          </w:tcPr>
          <w:p>
            <w:pPr>
              <w:jc w:val="right"/>
              <w:ind w:right="45"/>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285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-1612265</wp:posOffset>
            </wp:positionV>
            <wp:extent cx="6553200" cy="1631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extLst>
                    </a:blip>
                    <a:srcRect/>
                    <a:stretch>
                      <a:fillRect/>
                    </a:stretch>
                  </pic:blipFill>
                  <pic:spPr bwMode="auto">
                    <a:xfrm>
                      <a:off x="0" y="0"/>
                      <a:ext cx="6553200" cy="1631950"/>
                    </a:xfrm>
                    <a:prstGeom prst="rect">
                      <a:avLst/>
                    </a:prstGeom>
                    <a:noFill/>
                  </pic:spPr>
                </pic:pic>
              </a:graphicData>
            </a:graphic>
          </wp:anchor>
        </w:drawing>
      </w:r>
    </w:p>
    <w:p>
      <w:pPr>
        <w:spacing w:after="0" w:line="22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Supplemental cash flow information </w:t>
      </w:r>
      <w:r>
        <w:rPr>
          <w:rFonts w:ascii="Times New Roman" w:cs="Times New Roman" w:eastAsia="Times New Roman" w:hAnsi="Times New Roman"/>
          <w:sz w:val="20"/>
          <w:szCs w:val="20"/>
          <w:color w:val="auto"/>
        </w:rPr>
        <w:t>Interest paid in cash was $57 million, $145 million, and $365 million for fiscal years 2025,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2024 and 2023, respectively. Income taxes paid in cash were $316 million, $54 million and $92 million for fiscal years 2025, 2024 and 2023, respectively. Income taxes paid during 2025 includes the payment of $284 million of taxes related to the Digital Banking Sale, included within the change in other assets and liabilities within the Consolidated Statements of Cash Flows during the year ended December 31, 2025.</w:t>
      </w:r>
    </w:p>
    <w:p>
      <w:pPr>
        <w:spacing w:after="0" w:line="19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Accounts Receivable, net </w:t>
      </w:r>
      <w:r>
        <w:rPr>
          <w:rFonts w:ascii="Times New Roman" w:cs="Times New Roman" w:eastAsia="Times New Roman" w:hAnsi="Times New Roman"/>
          <w:sz w:val="20"/>
          <w:szCs w:val="20"/>
          <w:color w:val="auto"/>
        </w:rPr>
        <w:t>Accounts receivable, net includes amounts billed and currently due from customers as well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amounts unbilled that typically result from sales under contracts where revenue recognized exceeds the amount billed to the customer and where the Company has an unconditional right to consideration. The amounts due are stated at their net estimated realizable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accounts receivable are summarized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8"/>
                <w:szCs w:val="18"/>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58"/>
        </w:trPr>
        <w:tc>
          <w:tcPr>
            <w:tcW w:w="7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Accounts receivable</w:t>
            </w:r>
          </w:p>
        </w:tc>
        <w:tc>
          <w:tcPr>
            <w:tcW w:w="640" w:type="dxa"/>
            <w:vAlign w:val="bottom"/>
            <w:vMerge w:val="restart"/>
          </w:tcPr>
          <w:p>
            <w:pPr>
              <w:jc w:val="right"/>
              <w:ind w:right="407"/>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447</w:t>
            </w:r>
          </w:p>
        </w:tc>
        <w:tc>
          <w:tcPr>
            <w:tcW w:w="7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0" w:type="dxa"/>
            <w:vAlign w:val="bottom"/>
          </w:tcPr>
          <w:p>
            <w:pPr>
              <w:spacing w:after="0"/>
              <w:rPr>
                <w:sz w:val="1"/>
                <w:szCs w:val="1"/>
                <w:color w:val="auto"/>
              </w:rPr>
            </w:pPr>
          </w:p>
        </w:tc>
      </w:tr>
      <w:tr>
        <w:trPr>
          <w:trHeight w:val="26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Trade</w:t>
            </w:r>
          </w:p>
        </w:tc>
        <w:tc>
          <w:tcPr>
            <w:tcW w:w="64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44</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Accounts receivable, gross</w:t>
            </w:r>
          </w:p>
        </w:tc>
        <w:tc>
          <w:tcPr>
            <w:tcW w:w="6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491</w:t>
            </w: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w:t>
            </w:r>
          </w:p>
        </w:tc>
        <w:tc>
          <w:tcPr>
            <w:tcW w:w="0" w:type="dxa"/>
            <w:vAlign w:val="bottom"/>
          </w:tcPr>
          <w:p>
            <w:pPr>
              <w:spacing w:after="0"/>
              <w:rPr>
                <w:sz w:val="1"/>
                <w:szCs w:val="1"/>
                <w:color w:val="auto"/>
              </w:rPr>
            </w:pPr>
          </w:p>
        </w:tc>
      </w:tr>
      <w:tr>
        <w:trPr>
          <w:trHeight w:val="286"/>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Less: allowance for credit losses</w:t>
            </w: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45"/>
        </w:trPr>
        <w:tc>
          <w:tcPr>
            <w:tcW w:w="7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accounts receivable, net</w:t>
            </w:r>
          </w:p>
        </w:tc>
        <w:tc>
          <w:tcPr>
            <w:tcW w:w="640" w:type="dxa"/>
            <w:vAlign w:val="bottom"/>
          </w:tcPr>
          <w:p>
            <w:pPr>
              <w:jc w:val="right"/>
              <w:ind w:right="407"/>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470</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-1097915</wp:posOffset>
            </wp:positionV>
            <wp:extent cx="6553200" cy="1117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6553200" cy="1117600"/>
                    </a:xfrm>
                    <a:prstGeom prst="rect">
                      <a:avLst/>
                    </a:prstGeom>
                    <a:noFill/>
                  </pic:spPr>
                </pic:pic>
              </a:graphicData>
            </a:graphic>
          </wp:anchor>
        </w:drawing>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Allowance for Credit Losses on Accounts Receivable </w:t>
      </w:r>
      <w:r>
        <w:rPr>
          <w:rFonts w:ascii="Times New Roman" w:cs="Times New Roman" w:eastAsia="Times New Roman" w:hAnsi="Times New Roman"/>
          <w:sz w:val="20"/>
          <w:szCs w:val="20"/>
          <w:color w:val="auto"/>
        </w:rPr>
        <w:t>Allowances for credit losses on accounts receivable are recognized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when reasonable and supportable forecasts affect the expected collectability. This requires us to make our best estimate of the current expected losses inherent in our accounts receivable at each balance sheet date. These estimates require consideration of historical loss experience, adjusted for current conditions, forward looking indicators, trends in customer payment frequency and judgments about the probable effects of relevant observable data, including present and future economic conditions and the financial health of specific customers and market sectors. This policy is applied consistently among all of our operating segments. We continue to evaluate our reserves in light of the age and quality of our outstanding accounts receivable and risks to specific industries or countries and adjust the reserves accordingly.</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allowance for credit losses as of December 31, 2025 and December 31, 2024 was $21 million and $26 million, respectively. For the year ending December 31, 2025, our allowance for credit losses charged to expense was $10 million. The Company recorded $15 million of write-offs against the reserve for the year ended December 31, 2025. For the year ending December 31, 2024, our allowance for credit losses charged to expense was $15 million and the Company recorded $18 million of write-offs against the reserve.</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Inventories </w:t>
      </w:r>
      <w:r>
        <w:rPr>
          <w:rFonts w:ascii="Times New Roman" w:cs="Times New Roman" w:eastAsia="Times New Roman" w:hAnsi="Times New Roman"/>
          <w:sz w:val="20"/>
          <w:szCs w:val="20"/>
          <w:color w:val="auto"/>
        </w:rPr>
        <w:t>Inventories are stated at the lower of cost or net realizable value, using the average cost method. Cost includes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materials, labor and manufacturing overhead related to the purchase and production of inventories. Service parts are included in inventories and include reworkable and non-reworkable service parts. The Company regularly reviews inventory quantities on hand, future purchase commitments with suppliers and the estimated utility of inventory. If the review indicates a reduction in utility below carrying value, inventory is reduced to a new cost basis. Excess and obsolete write-offs are established based on forecasted usage, orders, technological obsolescence and inventory aging.</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260"/>
          </w:cols>
          <w:pgMar w:left="1000" w:top="220" w:right="98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Contract Assets and Liabilities </w:t>
      </w:r>
      <w:r>
        <w:rPr>
          <w:rFonts w:ascii="Times New Roman" w:cs="Times New Roman" w:eastAsia="Times New Roman" w:hAnsi="Times New Roman"/>
          <w:sz w:val="20"/>
          <w:szCs w:val="20"/>
          <w:color w:val="auto"/>
        </w:rPr>
        <w:t>Contract assets include unbilled amounts where the right to payment is not solely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passage of time. Amounts may not exceed their net realizable value. Contract liabilities consist of advance payments, billings in excess of revenue recognized and deferred revenue.</w:t>
      </w:r>
    </w:p>
    <w:p>
      <w:pPr>
        <w:spacing w:after="0" w:line="19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Our contract assets and liabilities are reported in a net position on a contract-by-contract basis at the end of each reporting period. If the net position is a contract asset, the current portion is included in Prepaid and other current assets and the non-current portion is included in Other assets in the Consolidated Balance Sheet. If the net position is a contract liability, the current portion is included in Contract liabilities and the non-current portion is included in Other liabilities in the Consolidated Balance Sheet. As of December 31, 2025 and 2024, no contracts were in a net asset position.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net contract asset and contract liability balances: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 in the Consolidated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4"/>
        </w:trPr>
        <w:tc>
          <w:tcPr>
            <w:tcW w:w="5340" w:type="dxa"/>
            <w:vAlign w:val="bottom"/>
            <w:vMerge w:val="continue"/>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Current portion of contract liabilities</w:t>
            </w:r>
          </w:p>
        </w:tc>
        <w:tc>
          <w:tcPr>
            <w:tcW w:w="2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liabilities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209</w:t>
            </w:r>
          </w:p>
        </w:tc>
        <w:tc>
          <w:tcPr>
            <w:tcW w:w="0" w:type="dxa"/>
            <w:vAlign w:val="bottom"/>
          </w:tcPr>
          <w:p>
            <w:pPr>
              <w:spacing w:after="0"/>
              <w:rPr>
                <w:sz w:val="1"/>
                <w:szCs w:val="1"/>
                <w:color w:val="auto"/>
              </w:rPr>
            </w:pPr>
          </w:p>
        </w:tc>
      </w:tr>
      <w:tr>
        <w:trPr>
          <w:trHeight w:val="300"/>
        </w:trPr>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Non-current portion of contract liabilities</w:t>
            </w:r>
          </w:p>
        </w:tc>
        <w:tc>
          <w:tcPr>
            <w:tcW w:w="2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liabilities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-384810</wp:posOffset>
            </wp:positionV>
            <wp:extent cx="6540500" cy="406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6540500" cy="406400"/>
                    </a:xfrm>
                    <a:prstGeom prst="rect">
                      <a:avLst/>
                    </a:prstGeom>
                    <a:noFill/>
                  </pic:spPr>
                </pic:pic>
              </a:graphicData>
            </a:graphic>
          </wp:anchor>
        </w:drawing>
      </w:r>
    </w:p>
    <w:p>
      <w:pPr>
        <w:spacing w:after="0" w:line="27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the twelve months ended December 31, 2025, the Company recognized $175 million in revenue that was included in contract liabilities as of December 31, 2024.</w:t>
      </w:r>
    </w:p>
    <w:p>
      <w:pPr>
        <w:spacing w:after="0" w:line="17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Deferred Commissions </w:t>
      </w:r>
      <w:r>
        <w:rPr>
          <w:rFonts w:ascii="Times New Roman" w:cs="Times New Roman" w:eastAsia="Times New Roman" w:hAnsi="Times New Roman"/>
          <w:sz w:val="20"/>
          <w:szCs w:val="20"/>
          <w:color w:val="auto"/>
        </w:rPr>
        <w:t>Our incremental costs of obtaining a contract, which consist of certain sales commissions, primarily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our SaaS revenue, are deferred and amortized on a straight-line basis over the period of expected benefit. We determined the period of expected benefit by taking into consideration customer contracts, the estimated life of the customer relationship, including renewals when the renewal commission is not commensurate with the initial commission, the expected life of the underlying technology and other factors. We classify deferred commissions as current or non-current based on the timing of when we expect to recognize the expense. The current and non-current portions of deferred commissions are included in Prepaid and other current assets and Other assets, respectively, in the Consolidated Balance Sheets. Amortization of deferred commissions is included in Selling, general and administrative expenses in the Consolidated Statements of Operations.</w:t>
      </w:r>
    </w:p>
    <w:p>
      <w:pPr>
        <w:spacing w:after="0" w:line="20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Settlement Processing Assets and Obligations </w:t>
      </w:r>
      <w:r>
        <w:rPr>
          <w:rFonts w:ascii="Times New Roman" w:cs="Times New Roman" w:eastAsia="Times New Roman" w:hAnsi="Times New Roman"/>
          <w:sz w:val="20"/>
          <w:szCs w:val="20"/>
          <w:color w:val="auto"/>
        </w:rPr>
        <w:t>Funds settlement refers to the process of transferring funds for sales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credits between card issuers and merchants. Depending on the type of transaction, either the credit card interchange system or the debit network is used to transfer the information and funds in either direction between the sponsoring bank and card issuing bank to complete the link between merchants and card issuers. In certain of our processing arrangements, merchant funding occurs after the sponsoring bank or the Company receives the funds from the card issuer through the card networks, creating a settlement obligation to the merchant on the Company’s Consolidated Balance Sheet. In a limited number of other arrangements, the sponsoring bank funds the merchants before it receives the net settlement funds from the card networks, creating a settlement asset on the Company’s Consolidated Balance Sheet. Additionally, relative to credit card transactions, the Company’s sponsoring bank collects the gross revenue from the merchants, pays the interchange fees and assessments to the credit card associations, collects its fees for processing and pays the Company a net residual payment representing the Company’s fees for the services. In these instances, the Company does not reflect the related settlement processing assets and obligations in its Consolidated Balance Sheet.</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Settlement processing assets consist of settlement assets due from customers and receivables from merchants corresponding to the discount fee related to reimbursement of the interchange expense, our receivables from the processing bank or Electronic Funds Transfer (“EFT”) network for transactions that have occurred and have been funded to merchants in advance of receipt of card association funding, restricted cash balances that are not yet due to merchants, merchant reserves held, sponsoring bank reserves and exception items, such as customer chargeback amounts receivable from merchants. Settlement processing obligations consist primarily of merchant reserves, our liability to the processing bank or merchant for transactions for which we have received funding from the members or networks but have not funded merchants as well as certain exception items. Settlement processing assets other than restricted cash are recorded within Prepaid and other current assets and settlement processing liabilities are recorded within Settlement liabilities in the Consolidated Balance Sheet. Cash related to settlement processing is recorded within Restricted cash in the Consolidated Balance Sheet. As of December 31, 2025 and 2024, settlement processing assets were $9 million and $50 million, respectively, and settlement processing liabilities were $10 million and $47 million, respectively. Settlement receivables are generally collected within three to four business days. Settlement obligations are generally paid within three business days, regardless of when the related settlement receivables are collected.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260"/>
          </w:cols>
          <w:pgMar w:left="1000" w:top="220" w:right="9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Capitalized Software </w:t>
      </w:r>
      <w:r>
        <w:rPr>
          <w:rFonts w:ascii="Times New Roman" w:cs="Times New Roman" w:eastAsia="Times New Roman" w:hAnsi="Times New Roman"/>
          <w:sz w:val="20"/>
          <w:szCs w:val="20"/>
          <w:color w:val="auto"/>
        </w:rPr>
        <w:t>Certain direct development costs associated with internal-use software are capitalized within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and amortized over the estimated useful lives of the resulting software. The Company typically amortizes capitalized internal-use software on a straight-line basis over four to seven years beginning when the asset is substantially ready for use, as this is considered to approximate the usage pattern of the software. When it becomes probable that internal-use software being developed will not be completed or placed into service, the internal-use software is reported at the lower of the carrying amount or fair value.</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Costs incurred for the development of software that will be sold, leased or otherwise marketed are capitalized when technological feasibility has been established. These costs are included within Other assets and are amortized on a sum-of-the-years’ digits or straight-line basis over the estimated useful lives ranging from three to five years, using the method that most closely approximates the sales pattern of the software. Amortization begins when the product is available for general release. Costs capitalized include direct labor and related overhead costs. Costs incurred prior to technological feasibility or after general release are expensed as incurred. The Company performs periodic reviews to ensure that unamortized program costs remain recoverable from future revenue. If future revenue does not support the unamortized program costs, the amount by which the unamortized capitalized cost of a software product exceeds the net realizable value is written off.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identifies the activity relating to total capitalized software:</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 as of January 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r>
      <w:tr>
        <w:trPr>
          <w:trHeight w:val="30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Capitalization</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30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30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Impairment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03"/>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Capitalized software acquired or disposed of and other adjustments</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60"/>
        </w:trPr>
        <w:tc>
          <w:tcPr>
            <w:tcW w:w="588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 as of December 31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r>
      <w:tr>
        <w:trPr>
          <w:trHeight w:val="20"/>
        </w:trPr>
        <w:tc>
          <w:tcPr>
            <w:tcW w:w="5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-1174115</wp:posOffset>
            </wp:positionV>
            <wp:extent cx="6534150" cy="1193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6534150" cy="1193800"/>
                    </a:xfrm>
                    <a:prstGeom prst="rect">
                      <a:avLst/>
                    </a:prstGeom>
                    <a:noFill/>
                  </pic:spPr>
                </pic:pic>
              </a:graphicData>
            </a:graphic>
          </wp:anchor>
        </w:drawing>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2023, other adjustments includes the write-off of certain capitalized software related to the divested business.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Goodwill and Other Intangible Assets </w:t>
      </w:r>
      <w:r>
        <w:rPr>
          <w:rFonts w:ascii="Times New Roman" w:cs="Times New Roman" w:eastAsia="Times New Roman" w:hAnsi="Times New Roman"/>
          <w:sz w:val="20"/>
          <w:szCs w:val="20"/>
          <w:color w:val="auto"/>
        </w:rPr>
        <w:t>Goodwill represents the excess of purchase price over the fair value of the net tangible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identifiable intangible assets of businesses acquired. Goodwill is tested at the reporting unit level for impairment on an annual basis during the fourth quarter or more frequently if certain events occur indicating that the carrying value of goodwill may be impaired. A significant amount of judgment is involved in determining if an indicator of impairment has occurred. Such indicators may include a decline in expected cash flows, a significant adverse change in legal factors or in the business climate, a decision to sell a business, unanticipated competition, or slower growth rates, among others. Consistent with the examples of such events and circumstances given in the accounting guidance, we believe that a goodwill impairment test should be performed immediately before and after a reorganization of our reporting structure when the reorganization would affect the composition of one or more of our reporting units. In this circumstance, performing the impairment test immediately before and after the reorganization would help to confirm that the reorganization is not potentially masking a goodwill impairment charge.</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the evaluation of goodwill for impairment,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is determined based on the amount by which the carrying amount exceeds the fair value up to the total value of goodwill assigned to the reporting unit. Fair values of the reporting units are estimated using a weighted methodology considering the output from both the income and market approaches. The income approach incorporates the use of discounted cash flow (“DCF”) analysis. A number of significant assumptions and estimates are involved in the application of the DCF model to forecast operating cash flows, including revenue growth rates, EBITDA margins and discount rates. Several of these assumptions vary among reporting units. The cash flow forecasts are generally based on approved strategic operating plans. The market approach is performed using the Guideline Public Companies (“GPC”) method which is based on earnings multiple data. We perform a reconciliation between our market capitalization and our estimate of the aggregate fair value of the reporting units, including consideration of a control premium. Refer to Note 4, “Goodwill and Purchased Intangible Assets”, for further discussion.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60"/>
          </w:cols>
          <w:pgMar w:left="1000" w:top="220" w:right="98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Acquired intangible assets other than goodwill are amortized over their weighted average amortization period unless they are determined to be indefinite. Acquired intangible assets are carried at cost, less accumulated amortization. For intangible assets purchased in a business combination, the estimated fair values of the assets received are used to establish the carrying value. The fair value of acquired intangible assets is determined using common techniques, and the Company employs assumptions developed using the perspective of a market participant. The Company makes judgments about the recoverability of intangible assets whenever events or changes in circumstances indicate that impairment may exist. If such facts and circumstances exist, the Company assesses the recoverability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If the useful life is shorter than originally estimated, the Company would accelerate the rate of amortization and amortize the remaining carrying value over the new shorter useful life. For further discussion of identified intangible assets, see Note 4, “Goodwill and Purchased Intangible Assets”.</w:t>
      </w:r>
    </w:p>
    <w:p>
      <w:pPr>
        <w:spacing w:after="0" w:line="20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Property, Plant and Equipment </w:t>
      </w:r>
      <w:r>
        <w:rPr>
          <w:rFonts w:ascii="Times New Roman" w:cs="Times New Roman" w:eastAsia="Times New Roman" w:hAnsi="Times New Roman"/>
          <w:sz w:val="20"/>
          <w:szCs w:val="20"/>
          <w:color w:val="auto"/>
        </w:rPr>
        <w:t>Property, plant and equipment and leasehold improvements are stated at cost 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accumulated depreciation. Depreciation is computed over the estimated useful lives of the related assets primarily on a straight-line basis. Machinery and other equipment are depreciated over 3 to 20 years and buildings over 25 to 45 years. Leasehold improvements are depreciated over the life of the lease or the asset, whichever is shorter. Assets classified as held for sale are not depreciated. Upon retirement or disposition of property, plant and equipment, the related cost and accumulated depreciation or amortization are removed from the Company’s accounts, and a gain or loss is recorded. Depreciation expense related to property, plant and equipment was $58 million for the year ending December 31, 2025, and $55 million for the years ending December 31, 2024 and 2023.</w:t>
      </w:r>
    </w:p>
    <w:p>
      <w:pPr>
        <w:spacing w:after="0" w:line="20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Valuation of Long-Lived Assets </w:t>
      </w:r>
      <w:r>
        <w:rPr>
          <w:rFonts w:ascii="Times New Roman" w:cs="Times New Roman" w:eastAsia="Times New Roman" w:hAnsi="Times New Roman"/>
          <w:sz w:val="20"/>
          <w:szCs w:val="20"/>
          <w:color w:val="auto"/>
        </w:rPr>
        <w:t>Long-lived assets such as property, plant and equipment and finite-lived intangible assets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reviewed for impairment when events or changes in circumstances indicate that the carrying amount of the assets may not be recoverable or in the period in which the held for sale criteria are met. For assets held and used, this analysis consists of comparing the asset’s carrying value to the expected future cash flows to be generated from the asset on an undiscounted basis. If the carrying amount of the asset is determined not to be recoverable, a write-down to fair value is recorded. Fair values are determined based on quoted market values, discounted cash flows, or external appraisals, as applicable. Long-lived assets are reviewed for impairment at the individual asset or the asset group level for which the lowest level of independent cash flows can be identified. Refer to Note 4, “Goodwill and Purchased Intangible Assets”, for further discussion.</w:t>
      </w:r>
    </w:p>
    <w:p>
      <w:pPr>
        <w:spacing w:after="0" w:line="20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Leasing </w:t>
      </w:r>
      <w:r>
        <w:rPr>
          <w:rFonts w:ascii="Times New Roman" w:cs="Times New Roman" w:eastAsia="Times New Roman" w:hAnsi="Times New Roman"/>
          <w:sz w:val="20"/>
          <w:szCs w:val="20"/>
          <w:color w:val="auto"/>
        </w:rPr>
        <w:t>The Company determines whether an arrangement is a lease at the inception of the arrangement based on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in the contract. A contract contains a lease if there is an identified asset and the Company has the right to control the asset.</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Lessee </w:t>
      </w:r>
      <w:r>
        <w:rPr>
          <w:rFonts w:ascii="Times New Roman" w:cs="Times New Roman" w:eastAsia="Times New Roman" w:hAnsi="Times New Roman"/>
          <w:sz w:val="20"/>
          <w:szCs w:val="20"/>
          <w:color w:val="auto"/>
        </w:rPr>
        <w:t>We lease property, vehicles and equipment under operating and financing leases. For leases with terms greater than 12</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months, we record the related asset and obligation at the present value of lease payments over the term. We determine the lease term by assuming the exercise of renewal options that are reasonably certain. Leases with a lease term of 12 months or less at inception are not recorded on our Consolidated Balance Sheet and are expensed on a straight-line basis over the lease term in our Consolidated Statement of Operations. Our leases may include rental escalation clauses, renewal options and/or termination options that are factored into our determination of lease payments when appropriate. 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 Our incremental borrowing rate is based on a credit-adjusted risk-free rate at commencement date, which best approximates a secured rate over a similar term of lease. Additionally, we do not separate lease and non-lease components for any asset classes, except for those leases embedded in certain service arrangements. Fixed and in-substance fixed payments are included in the recognition of the operating and financing assets and lease liabilities, however, variable lease payments, other than those based on a rate or index, are recognized in the Consolidated Statements of Operations in the period in which the obligation for those payments is incurred. The Company’s variable lease payments generally relate to payments tied to various indices, non-lease components and payments above a contractual minimum fixed payment.</w:t>
      </w:r>
    </w:p>
    <w:p>
      <w:pPr>
        <w:spacing w:after="0" w:line="21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Lessor </w:t>
      </w:r>
      <w:r>
        <w:rPr>
          <w:rFonts w:ascii="Times New Roman" w:cs="Times New Roman" w:eastAsia="Times New Roman" w:hAnsi="Times New Roman"/>
          <w:sz w:val="20"/>
          <w:szCs w:val="20"/>
          <w:color w:val="auto"/>
        </w:rPr>
        <w:t>We have various arrangements for certain point-of-sale equipment under which we are the lessor. These leases meet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criteria for operating lease classification. Lease income associated with these leases is not material.</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Pension and Postemployment Benefits </w:t>
      </w:r>
      <w:r>
        <w:rPr>
          <w:rFonts w:ascii="Times New Roman" w:cs="Times New Roman" w:eastAsia="Times New Roman" w:hAnsi="Times New Roman"/>
          <w:sz w:val="20"/>
          <w:szCs w:val="20"/>
          <w:color w:val="auto"/>
        </w:rPr>
        <w:t>The Company has significant pension and postemployment benefit costs, which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developed from actuarial valuations. Actuarial assumptions are established to anticipate future events and are used in calculating the expense and liabilities relating to these plans. These factors include assumptions the Company makes about interest rates, expected investment return on plan assets, rate of increase in healthcare costs, involuntary turnover rates, and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60"/>
          </w:cols>
          <w:pgMar w:left="1000" w:top="220" w:right="98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rates of future compensation increases. In addition, the Company also uses subjective factors, such as withdrawal rates and mortality rates to develop the Company’s valuations. The Company generally reviews and updates these assumptions on an annual basis. The Company is required to consider current market conditions, including changes in interest rates, in making these assumptions. The actuarial assumptions that the Company uses may differ materially from actual results due to changing market and economic conditions, higher or lower withdrawal rates, or longer or shorter life spans of participants. These differences may result in a significant impact to the amount of pension or postemployment benefits expense, and the related assets and liabilities, the Company has recorded or may record.</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Environmental and Legal Contingencies </w:t>
      </w:r>
      <w:r>
        <w:rPr>
          <w:rFonts w:ascii="Times New Roman" w:cs="Times New Roman" w:eastAsia="Times New Roman" w:hAnsi="Times New Roman"/>
          <w:sz w:val="20"/>
          <w:szCs w:val="20"/>
          <w:color w:val="auto"/>
        </w:rPr>
        <w:t>In the normal course of business, the Company is subject to various proceedings,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lawsuits, claims and other matters, including, for example, those that relate to the environment and health and safety, labor and employment, intellectual property, data privacy and security, product liability, commercial disputes and regulatory compliance, among others. Additionally, the Company is subject to diverse and complex regulations and such regulations are subject to change. The Company believes that the amounts provided in its Consolidated Financial Statements are adequate. However, there can be no assurances that the actual amounts required to satisfy alleged liabilities from various lawsuits, claims, legal proceedings and other matters, including the Fox River and Kalamazoo River environmental matters discussed in Note 11, “Commitments and Contingencies”, and to comply with applicable laws and regulations, will not exceed the amounts reflected in the Company’s Consolidated Financial Statements or will not have a material adverse effect on the Company’s consolidated results of operations, financial condition or cash flows. Any costs that may be incurred in excess of those amounts provided as of December 31, 2025 cannot currently be reasonably determined or are not currently considered probable. The costs and insurance recoveries relating to certain environmental obligations associated with discontinued operations, including those relating to the Fox River and Kalamazoo River matters, are presented in Income (loss) from discontinued operations, net of tax, in the Consolidated Statements of Operations.</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Legal fees and expenses related to loss contingencies are typically expensed as incurred, except for certain costs associated with the Company’s environmental remediation obligations. Costs and fees associated with litigating the extent and type of required remedial actions, and the allocation of remediation costs among potentially responsible parties, are typically included in the measurement of the environmental remediation liabilities.</w:t>
      </w:r>
    </w:p>
    <w:p>
      <w:pPr>
        <w:spacing w:after="0" w:line="19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Foreign Currency </w:t>
      </w:r>
      <w:r>
        <w:rPr>
          <w:rFonts w:ascii="Times New Roman" w:cs="Times New Roman" w:eastAsia="Times New Roman" w:hAnsi="Times New Roman"/>
          <w:sz w:val="20"/>
          <w:szCs w:val="20"/>
          <w:color w:val="auto"/>
        </w:rPr>
        <w:t>For many of the Company’s international operations, the local currency is designated as the functional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currency. Accordingly, assets and liabilities are translated into U.S. Dollars at year-end exchange rates, and revenue and expenses are translated at average exchange rates prevailing during the year. Currency translation adjustments from local functional currency countries resulting from fluctuations in exchange rates are recorded in Other comprehensive income. Remeasurement adjustments are recorded in Other income (expense), net.</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Repurchase of Common Stock </w:t>
      </w:r>
      <w:r>
        <w:rPr>
          <w:rFonts w:ascii="Times New Roman" w:cs="Times New Roman" w:eastAsia="Times New Roman" w:hAnsi="Times New Roman"/>
          <w:sz w:val="20"/>
          <w:szCs w:val="20"/>
          <w:color w:val="auto"/>
        </w:rPr>
        <w:t>The Company applies the par value method of accounting for repurchases of common stock.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March 2017, the Board approved a share repurchase program, with no expiration from the date of authorization, that provided for the repurchase of up to $300 million of the Company’s common stock (the “Repurchase Program”). In July 2018, the Board authorized an incremental $200 million of share repurchases under the Repurchase Program. On May 6, 2025, the Board amended and restated the Repurchase Program to (1) add an incremental $172 million of repurchase authority under the program, taking the total aggregate authority for future repurchases under the program to $200 million, and (2) to expand the repurchase authority to apply to repurchases of the Company’s Series A Convertible Preferred Stock, in addition to common stock. On February 12, 2026, the Board amended the Repurchase Program to add an incremental $178 million of repurchase authority under the program, taking the total aggregate repurchase authority under the program to $300 million. The Company repurchased $74 million and $56 million of common stock during the years ended December 31, 2025 and 2024, respectively, under the Repurchase Program.</w:t>
      </w:r>
    </w:p>
    <w:p>
      <w:pPr>
        <w:spacing w:after="0" w:line="20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Derivative Instruments </w:t>
      </w:r>
      <w:r>
        <w:rPr>
          <w:rFonts w:ascii="Times New Roman" w:cs="Times New Roman" w:eastAsia="Times New Roman" w:hAnsi="Times New Roman"/>
          <w:sz w:val="20"/>
          <w:szCs w:val="20"/>
          <w:color w:val="auto"/>
        </w:rPr>
        <w:t>In the normal course of business, the Company enters into various financial instruments,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derivative financial instruments. The Company accounts for derivatives as either assets or liabilities in the Consolidated Balance Sheets at fair value and recognizes the resulting gains or losses as adjustments to earnings or other comprehensive income. For derivative instruments that are designated and qualify as hedging instruments, the Company formally documents the relationship between hedging instruments and hedged items, as well as the risk management objective and strategy for undertaking various hedge transactions. Hedging activities are transacted only with highly rated institutions, reducing exposure to credit risk in the event of nonperformance. Additionally, the Company completes assessments related to the risk of counterparty nonperformance on a regular basis.</w:t>
      </w:r>
    </w:p>
    <w:p>
      <w:pPr>
        <w:spacing w:after="0" w:line="2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accounting for changes in fair value of a derivative instrument depends on whether it has been designated and qualifies as part of a hedging relationship, and further, on the type of hedging relationship. For those derivative instruments that are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60"/>
          </w:cols>
          <w:pgMar w:left="1000" w:top="220" w:right="9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designated and qualify as hedging instruments, the Company has designated the hedging instrument, based on the exposure being hedged, as a fair value hedge, a cash flow hedge or a hedge of a net investment in a foreign operation. For derivative instruments designated as fair value hedges, the effective portion of the hedge is recorded as an offset to the change in the fair value of the hedged item, and the ineffective portion of the hedge, if any, is recorded in the Consolidated Statement of Operations. For derivative instruments designated as cash flow hedges and determined to be highly effective, the gains or losses are deferred in Accumulated other comprehensive loss and recognized in the determination of income as adjustments of carrying amounts when the underlying hedged transaction is realized, canceled or otherwise terminated. When hedging certain foreign currency transactions of a long-term investment nature (net investments in foreign operations), gains and losses are recorded in the currency translation adjustment component of Accumulated other comprehensive loss. Gains and losses on foreign exchange contracts that are not used to hedge currency transactions of a long-term investment nature, or that are not designated as cash flow or fair value hedges, are recognized in Other income (expense), net as exchange rates change.</w:t>
      </w:r>
    </w:p>
    <w:p>
      <w:pPr>
        <w:spacing w:after="0" w:line="20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Fair Value of Assets and Liabilities </w:t>
      </w:r>
      <w:r>
        <w:rPr>
          <w:rFonts w:ascii="Times New Roman" w:cs="Times New Roman" w:eastAsia="Times New Roman" w:hAnsi="Times New Roman"/>
          <w:sz w:val="20"/>
          <w:szCs w:val="20"/>
          <w:color w:val="auto"/>
        </w:rPr>
        <w:t>Fair value is defined as an exit price, representing an amount that would be received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 an asset or the amount paid to transfer a liability in an orderly transaction between market participants at the measurement date. As such, fair value is a market-based measurement determined based on assumptions that market participants would use in pricing an asset or liability. As a basis for considering such assumptions, the accounting guidance prioritizes the inputs used to measure fair value into the following three-tier fair value hierarchy:</w:t>
      </w:r>
    </w:p>
    <w:p>
      <w:pPr>
        <w:spacing w:after="0" w:line="2" w:lineRule="exact"/>
        <w:rPr>
          <w:sz w:val="20"/>
          <w:szCs w:val="20"/>
          <w:color w:val="auto"/>
        </w:rPr>
      </w:pPr>
    </w:p>
    <w:p>
      <w:pPr>
        <w:ind w:left="720" w:hanging="37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Unadjusted quoted prices in active markets for identical assets or liabilities</w:t>
      </w:r>
    </w:p>
    <w:p>
      <w:pPr>
        <w:spacing w:after="0" w:line="10"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Unadjusted quoted prices in active markets for similar assets or liabilities, unadjusted quoted prices for identical or similar assets or liabilities in markets that are not active or inputs, other than quoted prices in active markets, that are observable either directly or indirectly</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Unobservable inputs for which there is little or no market data</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Assets and liabilities are classified based on the lowest level of input that is significant to the fair value measurements. The Company reviews the fair value hierarchy classification on a quarterly basis. Changes to the observability of valuation inputs may result in a reclassification of levels for certain securities within the fair value hierarchy.</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measures its financial assets and financial liabilities at fair value based on one or more of the following three valuation techniques:</w:t>
      </w:r>
    </w:p>
    <w:p>
      <w:pPr>
        <w:spacing w:after="0" w:line="2" w:lineRule="exact"/>
        <w:rPr>
          <w:sz w:val="20"/>
          <w:szCs w:val="20"/>
          <w:color w:val="auto"/>
        </w:rPr>
      </w:pPr>
    </w:p>
    <w:p>
      <w:pPr>
        <w:ind w:left="720" w:right="20" w:hanging="370"/>
        <w:spacing w:after="0" w:line="250"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approach: Prices and other relevant information generated by market transactions involving identical or comparable assets or liabilities.</w:t>
      </w:r>
    </w:p>
    <w:p>
      <w:pPr>
        <w:ind w:left="720" w:hanging="37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approach: Amount that would be required to replace the service capacity of an asset (replacement cost).</w:t>
      </w:r>
    </w:p>
    <w:p>
      <w:pPr>
        <w:spacing w:after="0" w:line="10" w:lineRule="exact"/>
        <w:rPr>
          <w:rFonts w:ascii="Times New Roman" w:cs="Times New Roman" w:eastAsia="Times New Roman" w:hAnsi="Times New Roman"/>
          <w:sz w:val="20"/>
          <w:szCs w:val="20"/>
          <w:color w:val="auto"/>
        </w:rPr>
      </w:pPr>
    </w:p>
    <w:p>
      <w:pPr>
        <w:ind w:left="720" w:right="20" w:hanging="370"/>
        <w:spacing w:after="0" w:line="260"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approach: Techniques to convert future amounts to a single present amount based upon market expectations (including present value techniques, option pricing and excess earnings models).</w:t>
      </w:r>
    </w:p>
    <w:p>
      <w:pPr>
        <w:spacing w:after="0" w:line="2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regularly review our investments to determine whether a decline in fair value, if any, below the cost basis is other than temporary. If the decline in the fair value is determined to be other than temporary, the cost basis of the security is written down to fair value and the amount of the write-down is included in the Consolidated Statement of Operations. For qualifying investments in debt or equity securities, a temporary impairment charge would be recognized in Other comprehensive income (loss).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Adoption of New Accounting Pronouncements</w:t>
      </w:r>
    </w:p>
    <w:p>
      <w:pPr>
        <w:spacing w:after="0" w:line="25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Income Taxes (Topic 740): Improvements to Income Tax Disclosures</w:t>
      </w:r>
      <w:r>
        <w:rPr>
          <w:rFonts w:ascii="Times New Roman" w:cs="Times New Roman" w:eastAsia="Times New Roman" w:hAnsi="Times New Roman"/>
          <w:sz w:val="20"/>
          <w:szCs w:val="20"/>
          <w:color w:val="auto"/>
        </w:rPr>
        <w:t>. This guidance requires disclosure of specific categories in the rate reconciliation and provides additional information for reconciling items that meet a specified quantitative threshold. The guidance is effective for fiscal years beginning after December 15, 2024, with early adoption permitted. The Company has adopted ASU 2023-09 on a prospective basis and conformed to the applicable disclosure for the Annual Report on Form 10-K for the year ending December 31, 2025. Refer to Note 8, “Income Taxes” for additional details.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Although there are other new accounting pronouncements issued by the FASB and adopted by or effective for the Company, the Company does not believe any of these accounting pronouncements had a material impact on its consolidated financial statements.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260"/>
          </w:cols>
          <w:pgMar w:left="1000" w:top="220" w:right="9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Pronouncements Issued But Not Yet Adopted</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2025-11, </w:t>
      </w:r>
      <w:r>
        <w:rPr>
          <w:rFonts w:ascii="Times New Roman" w:cs="Times New Roman" w:eastAsia="Times New Roman" w:hAnsi="Times New Roman"/>
          <w:sz w:val="20"/>
          <w:szCs w:val="20"/>
          <w:b w:val="1"/>
          <w:bCs w:val="1"/>
          <w:i w:val="1"/>
          <w:iCs w:val="1"/>
          <w:color w:val="auto"/>
        </w:rPr>
        <w:t>Interim Reporting (Topic 270): Narrow Scope Improvements.</w:t>
      </w:r>
      <w:r>
        <w:rPr>
          <w:rFonts w:ascii="Times New Roman" w:cs="Times New Roman" w:eastAsia="Times New Roman" w:hAnsi="Times New Roman"/>
          <w:sz w:val="20"/>
          <w:szCs w:val="20"/>
          <w:color w:val="auto"/>
        </w:rPr>
        <w:t xml:space="preserve"> The update improves the guidance in Topic 270, </w:t>
      </w:r>
      <w:r>
        <w:rPr>
          <w:rFonts w:ascii="Times New Roman" w:cs="Times New Roman" w:eastAsia="Times New Roman" w:hAnsi="Times New Roman"/>
          <w:sz w:val="20"/>
          <w:szCs w:val="20"/>
          <w:b w:val="1"/>
          <w:bCs w:val="1"/>
          <w:i w:val="1"/>
          <w:iCs w:val="1"/>
          <w:color w:val="auto"/>
        </w:rPr>
        <w:t>Interim Reporting</w:t>
      </w:r>
      <w:r>
        <w:rPr>
          <w:rFonts w:ascii="Times New Roman" w:cs="Times New Roman" w:eastAsia="Times New Roman" w:hAnsi="Times New Roman"/>
          <w:sz w:val="20"/>
          <w:szCs w:val="20"/>
          <w:color w:val="auto"/>
        </w:rPr>
        <w:t>, by improving the navigability of the required interim disclosures and clarifying when that guidance is applicable. The amendments in ASU 2025-11 are effective for interim reporting periods within annual reporting periods beginning after December 15, 2027, with early adoption permitted. The amendments can be applied either prospectively or retrospectively to any or all prior periods presented in the financial statements. The Company is currently evaluating the impact that the adoption of this guidance will have on its consolidated financial statements and related disclosures.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In September 2025, the FASB issued ASU 2025-06, </w:t>
      </w:r>
      <w:r>
        <w:rPr>
          <w:rFonts w:ascii="Times New Roman" w:cs="Times New Roman" w:eastAsia="Times New Roman" w:hAnsi="Times New Roman"/>
          <w:sz w:val="20"/>
          <w:szCs w:val="20"/>
          <w:b w:val="1"/>
          <w:bCs w:val="1"/>
          <w:i w:val="1"/>
          <w:iCs w:val="1"/>
          <w:color w:val="auto"/>
        </w:rPr>
        <w:t>Intangibles - Goodwill and Other - Internal-Use Software (Topic 350):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Targeted Improvements to the Accounting for Internal-Use Software. </w:t>
      </w:r>
      <w:r>
        <w:rPr>
          <w:rFonts w:ascii="Times New Roman" w:cs="Times New Roman" w:eastAsia="Times New Roman" w:hAnsi="Times New Roman"/>
          <w:sz w:val="20"/>
          <w:szCs w:val="20"/>
          <w:color w:val="auto"/>
        </w:rPr>
        <w:t>This update revises the recognition guidance for internal-use software by eliminating the previous model based on software development stages and introducing a principles-based approach. Under the new guidance, capitalization begins when the Company has authorized and committed to funding the project, and it is probable that the software will be completed and used for its intended purpose. The ASU is effective for interim periods and fiscal years beginning after December 15, 2027. The amendment may be applied on a prospective, retrospective or modified retrospective basis. The Company is currently evaluating the provisions of the amendments and the impact on its future consolidated financial statements.</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Income Statement – Reporting Comprehensive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Disaggregation Disclosures (Topic 220): Disaggregation of Income Statement Expenses </w:t>
      </w:r>
      <w:r>
        <w:rPr>
          <w:rFonts w:ascii="Times New Roman" w:cs="Times New Roman" w:eastAsia="Times New Roman" w:hAnsi="Times New Roman"/>
          <w:sz w:val="20"/>
          <w:szCs w:val="20"/>
          <w:color w:val="auto"/>
        </w:rPr>
        <w:t>and ASU 2025-01,</w:t>
      </w:r>
      <w:r>
        <w:rPr>
          <w:rFonts w:ascii="Times New Roman" w:cs="Times New Roman" w:eastAsia="Times New Roman" w:hAnsi="Times New Roman"/>
          <w:sz w:val="20"/>
          <w:szCs w:val="20"/>
          <w:b w:val="1"/>
          <w:bCs w:val="1"/>
          <w:i w:val="1"/>
          <w:iCs w:val="1"/>
          <w:color w:val="auto"/>
        </w:rPr>
        <w:t xml:space="preserve"> Income Statement - Reporting Comprehensive Income - Expense Disaggregation Disclosures (Topic 220): Clarifying the Effective Date</w:t>
      </w:r>
      <w:r>
        <w:rPr>
          <w:rFonts w:ascii="Times New Roman" w:cs="Times New Roman" w:eastAsia="Times New Roman" w:hAnsi="Times New Roman"/>
          <w:sz w:val="20"/>
          <w:szCs w:val="20"/>
          <w:color w:val="auto"/>
        </w:rPr>
        <w:t>.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guidance requires additional disclosure of certain amounts included in the expense captions presented on the Statement of Operations as well as disclosures about selling expenses. The ASU is effective on a prospective basis, with the option for retrospective application, for annual periods beginning after December 15, 2026 and interim reporting periods within annual reporting periods beginning after December 15, 2027. Early adoption is permitted for annual financial statements that have not yet been issued. The Company is in the process of assessing the impact the adoption of this guidance will have on the Company’s financial statement disclosures.</w:t>
      </w:r>
    </w:p>
    <w:p>
      <w:pPr>
        <w:spacing w:after="0" w:line="2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Although there are other new accounting pronouncements issued by the FASB and not yet adopted by or effective for the Company, the Company does not believe any of these accounting pronouncements will have a material impact on its consolidated financial statements.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60"/>
          </w:cols>
          <w:pgMar w:left="1000" w:top="220" w:right="98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DISCONTINUED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Banking Sale</w:t>
      </w:r>
    </w:p>
    <w:p>
      <w:pPr>
        <w:spacing w:after="0" w:line="25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On September 30, 2024, the Company completed the Digital Banking Sale. Refer to Note 1, “Basis of Presentation and Significant Accounting Policies” for additional information. The historical results of the Digital Banking businesses have been presented as discontinued operations for all periods presented. The Company’s presentation of discontinued operations excludes general corporate overhead costs that did not meet the requirements to be presented as discontinued operations. The Company recognized a pre-tax gain of approximately $1.5 billion, which was recognized in Net income (loss) from discontinued operations.</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major categories of income (loss) from discontinued operations related to the Digital Banking Sale:</w:t>
      </w:r>
    </w:p>
    <w:p>
      <w:pPr>
        <w:sectPr>
          <w:pgSz w:w="12240" w:h="15840" w:orient="portrait"/>
          <w:cols w:equalWidth="0" w:num="1">
            <w:col w:w="10260"/>
          </w:cols>
          <w:pgMar w:left="1000" w:top="220" w:right="980" w:bottom="0" w:gutter="0" w:footer="0" w:header="0"/>
        </w:sectPr>
      </w:pP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-146685</wp:posOffset>
            </wp:positionV>
            <wp:extent cx="6553200" cy="3317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6553200" cy="331787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Product revenue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Service revenue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 revenue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Cost of products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Cost of services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Selling, general and administrative expenses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Research and development expenses</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 operating expenses</w:t>
      </w:r>
    </w:p>
    <w:p>
      <w:pPr>
        <w:spacing w:after="0" w:line="70" w:lineRule="exact"/>
        <w:rPr>
          <w:sz w:val="20"/>
          <w:szCs w:val="20"/>
          <w:color w:val="auto"/>
        </w:rPr>
      </w:pPr>
    </w:p>
    <w:p>
      <w:pPr>
        <w:ind w:left="40" w:right="2260"/>
        <w:spacing w:after="0" w:line="311" w:lineRule="auto"/>
        <w:rPr>
          <w:sz w:val="20"/>
          <w:szCs w:val="20"/>
          <w:color w:val="auto"/>
        </w:rPr>
      </w:pPr>
      <w:r>
        <w:rPr>
          <w:rFonts w:ascii="Times New Roman" w:cs="Times New Roman" w:eastAsia="Times New Roman" w:hAnsi="Times New Roman"/>
          <w:sz w:val="20"/>
          <w:szCs w:val="20"/>
          <w:color w:val="auto"/>
        </w:rPr>
        <w:t>Income from discontinued operations Other income (expense), net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Income (loss) from discontinued operations before gain on sale of business and income taxes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Gain on sale of business</w:t>
      </w:r>
    </w:p>
    <w:p>
      <w:pPr>
        <w:spacing w:after="0" w:line="70" w:lineRule="exact"/>
        <w:rPr>
          <w:sz w:val="20"/>
          <w:szCs w:val="20"/>
          <w:color w:val="auto"/>
        </w:rPr>
      </w:pPr>
    </w:p>
    <w:p>
      <w:pPr>
        <w:ind w:left="40" w:right="120"/>
        <w:spacing w:after="0" w:line="311" w:lineRule="auto"/>
        <w:rPr>
          <w:sz w:val="20"/>
          <w:szCs w:val="20"/>
          <w:color w:val="auto"/>
        </w:rPr>
      </w:pPr>
      <w:r>
        <w:rPr>
          <w:rFonts w:ascii="Times New Roman" w:cs="Times New Roman" w:eastAsia="Times New Roman" w:hAnsi="Times New Roman"/>
          <w:sz w:val="20"/>
          <w:szCs w:val="20"/>
          <w:color w:val="auto"/>
        </w:rPr>
        <w:t>Income (loss) from discontinued operations before income taxes Income tax expense (benefit)</w:t>
      </w:r>
    </w:p>
    <w:p>
      <w:pPr>
        <w:spacing w:after="0" w:line="2" w:lineRule="exact"/>
        <w:rPr>
          <w:sz w:val="20"/>
          <w:szCs w:val="20"/>
          <w:color w:val="auto"/>
        </w:rPr>
      </w:pPr>
    </w:p>
    <w:p>
      <w:pPr>
        <w:ind w:left="40" w:right="40"/>
        <w:spacing w:after="0"/>
        <w:rPr>
          <w:sz w:val="20"/>
          <w:szCs w:val="20"/>
          <w:color w:val="auto"/>
        </w:rPr>
      </w:pPr>
      <w:r>
        <w:rPr>
          <w:rFonts w:ascii="Times New Roman" w:cs="Times New Roman" w:eastAsia="Times New Roman" w:hAnsi="Times New Roman"/>
          <w:sz w:val="20"/>
          <w:szCs w:val="20"/>
          <w:color w:val="auto"/>
        </w:rPr>
        <w:t>Net income (loss) from discontinued operations related to Digital Banking</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0"/>
        </w:trPr>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53</w:t>
            </w:r>
          </w:p>
        </w:tc>
      </w:tr>
      <w:tr>
        <w:trPr>
          <w:trHeight w:val="310"/>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526</w:t>
            </w:r>
          </w:p>
        </w:tc>
      </w:tr>
      <w:tr>
        <w:trPr>
          <w:trHeight w:val="280"/>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579</w:t>
            </w:r>
          </w:p>
        </w:tc>
      </w:tr>
      <w:tr>
        <w:trPr>
          <w:trHeight w:val="270"/>
        </w:trPr>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43</w:t>
            </w:r>
          </w:p>
        </w:tc>
      </w:tr>
      <w:tr>
        <w:trPr>
          <w:trHeight w:val="300"/>
        </w:trPr>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280</w:t>
            </w:r>
          </w:p>
        </w:tc>
      </w:tr>
      <w:tr>
        <w:trPr>
          <w:trHeight w:val="300"/>
        </w:trPr>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77</w:t>
            </w:r>
          </w:p>
        </w:tc>
      </w:tr>
      <w:tr>
        <w:trPr>
          <w:trHeight w:val="310"/>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46</w:t>
            </w:r>
          </w:p>
        </w:tc>
      </w:tr>
      <w:tr>
        <w:trPr>
          <w:trHeight w:val="280"/>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446</w:t>
            </w:r>
          </w:p>
        </w:tc>
      </w:tr>
      <w:tr>
        <w:trPr>
          <w:trHeight w:val="270"/>
        </w:trPr>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133</w:t>
            </w:r>
          </w:p>
        </w:tc>
      </w:tr>
      <w:tr>
        <w:trPr>
          <w:trHeight w:val="310"/>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68"/>
        </w:trPr>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128</w:t>
            </w:r>
          </w:p>
        </w:tc>
      </w:tr>
      <w:tr>
        <w:trPr>
          <w:trHeight w:val="407"/>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70"/>
        </w:trPr>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128</w:t>
            </w:r>
          </w:p>
        </w:tc>
      </w:tr>
      <w:tr>
        <w:trPr>
          <w:trHeight w:val="310"/>
        </w:trPr>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w:t>
            </w:r>
          </w:p>
        </w:tc>
      </w:tr>
      <w:tr>
        <w:trPr>
          <w:trHeight w:val="368"/>
        </w:trPr>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115</w:t>
            </w:r>
          </w:p>
        </w:tc>
      </w:tr>
      <w:tr>
        <w:trPr>
          <w:trHeight w:val="87"/>
        </w:trPr>
        <w:tc>
          <w:tcPr>
            <w:tcW w:w="3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300" w:space="460"/>
            <w:col w:w="4500"/>
          </w:cols>
          <w:pgMar w:left="1000" w:top="220" w:right="980" w:bottom="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The following table presents selected financial information related to cash flows from discontinued operations related to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Digital Banking Sale:</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8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242</w:t>
            </w: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360" w:type="dxa"/>
            <w:vAlign w:val="bottom"/>
          </w:tcPr>
          <w:p>
            <w:pPr>
              <w:spacing w:after="0"/>
              <w:rPr>
                <w:sz w:val="24"/>
                <w:szCs w:val="24"/>
                <w:color w:val="auto"/>
              </w:rPr>
            </w:pP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360" w:type="dxa"/>
            <w:vAlign w:val="bottom"/>
          </w:tcPr>
          <w:p>
            <w:pPr>
              <w:spacing w:after="0"/>
              <w:rPr>
                <w:sz w:val="24"/>
                <w:szCs w:val="24"/>
                <w:color w:val="auto"/>
              </w:rPr>
            </w:pP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-761365</wp:posOffset>
            </wp:positionV>
            <wp:extent cx="6540500" cy="787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6540500" cy="78740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Spin-Off of NCR Atleos</w:t>
      </w:r>
    </w:p>
    <w:p>
      <w:pPr>
        <w:spacing w:after="0" w:line="2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October 16, 2023, the Company completed the Spin-Off of NCR Atleos into an independent publicly traded company. Refer to Note 1, “Basis of Presentation and Significant Accounting Policies” for additional information regarding the Spin-Off. The historical results of NCR Atleos have been presented as discontinued operations. The Company’s presentation of discontinued operations excludes general corporate overhead costs that did not meet the requirements to be presented as discontinued operation. As of December 31, 2024, there were two countries that had not yet transferred to NCR Atleos. These countries transferred to NCR Atleos during 2025. As of December 31, 2025, all historical results of NCR Atleos are presented as discontinued operations.</w:t>
      </w:r>
    </w:p>
    <w:p>
      <w:pPr>
        <w:sectPr>
          <w:pgSz w:w="12240" w:h="15840" w:orient="portrait"/>
          <w:cols w:equalWidth="0" w:num="1">
            <w:col w:w="10260"/>
          </w:cols>
          <w:pgMar w:left="1000" w:top="220"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260"/>
          </w:cols>
          <w:pgMar w:left="1000" w:top="220" w:right="98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table presents the major categories of income (loss) from discontinued operations related to the Spin-Off of NCR Atleos. The balances for the year ended December 31, 2023 include the impacts of the Revision, as discussed in Note 1, “Basis of Presentation and Significant Accounting Policies.”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7"/>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Product revenue</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807</w:t>
            </w:r>
          </w:p>
        </w:tc>
        <w:tc>
          <w:tcPr>
            <w:tcW w:w="0" w:type="dxa"/>
            <w:vAlign w:val="bottom"/>
          </w:tcPr>
          <w:p>
            <w:pPr>
              <w:spacing w:after="0"/>
              <w:rPr>
                <w:sz w:val="1"/>
                <w:szCs w:val="1"/>
                <w:color w:val="auto"/>
              </w:rPr>
            </w:pPr>
          </w:p>
        </w:tc>
      </w:tr>
      <w:tr>
        <w:trPr>
          <w:trHeight w:val="31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Service revenue</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2,526</w:t>
            </w:r>
          </w:p>
        </w:tc>
        <w:tc>
          <w:tcPr>
            <w:tcW w:w="0" w:type="dxa"/>
            <w:vAlign w:val="bottom"/>
          </w:tcPr>
          <w:p>
            <w:pPr>
              <w:spacing w:after="0"/>
              <w:rPr>
                <w:sz w:val="1"/>
                <w:szCs w:val="1"/>
                <w:color w:val="auto"/>
              </w:rPr>
            </w:pPr>
          </w:p>
        </w:tc>
      </w:tr>
      <w:tr>
        <w:trPr>
          <w:trHeight w:val="28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3,333</w:t>
            </w: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products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654</w:t>
            </w:r>
          </w:p>
        </w:tc>
        <w:tc>
          <w:tcPr>
            <w:tcW w:w="0" w:type="dxa"/>
            <w:vAlign w:val="bottom"/>
          </w:tcPr>
          <w:p>
            <w:pPr>
              <w:spacing w:after="0"/>
              <w:rPr>
                <w:sz w:val="1"/>
                <w:szCs w:val="1"/>
                <w:color w:val="auto"/>
              </w:rPr>
            </w:pPr>
          </w:p>
        </w:tc>
      </w:tr>
      <w:tr>
        <w:trPr>
          <w:trHeight w:val="30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services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1,737</w:t>
            </w:r>
          </w:p>
        </w:tc>
        <w:tc>
          <w:tcPr>
            <w:tcW w:w="0" w:type="dxa"/>
            <w:vAlign w:val="bottom"/>
          </w:tcPr>
          <w:p>
            <w:pPr>
              <w:spacing w:after="0"/>
              <w:rPr>
                <w:sz w:val="1"/>
                <w:szCs w:val="1"/>
                <w:color w:val="auto"/>
              </w:rPr>
            </w:pPr>
          </w:p>
        </w:tc>
      </w:tr>
      <w:tr>
        <w:trPr>
          <w:trHeight w:val="30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541</w:t>
            </w:r>
          </w:p>
        </w:tc>
        <w:tc>
          <w:tcPr>
            <w:tcW w:w="0" w:type="dxa"/>
            <w:vAlign w:val="bottom"/>
          </w:tcPr>
          <w:p>
            <w:pPr>
              <w:spacing w:after="0"/>
              <w:rPr>
                <w:sz w:val="1"/>
                <w:szCs w:val="1"/>
                <w:color w:val="auto"/>
              </w:rPr>
            </w:pPr>
          </w:p>
        </w:tc>
      </w:tr>
      <w:tr>
        <w:trPr>
          <w:trHeight w:val="31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28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2,984</w:t>
            </w: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from discontinued operations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349</w:t>
            </w:r>
          </w:p>
        </w:tc>
        <w:tc>
          <w:tcPr>
            <w:tcW w:w="0" w:type="dxa"/>
            <w:vAlign w:val="bottom"/>
          </w:tcPr>
          <w:p>
            <w:pPr>
              <w:spacing w:after="0"/>
              <w:rPr>
                <w:sz w:val="1"/>
                <w:szCs w:val="1"/>
                <w:color w:val="auto"/>
              </w:rPr>
            </w:pPr>
          </w:p>
        </w:tc>
      </w:tr>
      <w:tr>
        <w:trPr>
          <w:trHeight w:val="30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1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(loss) from discontinued operations before income taxes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r>
        <w:trPr>
          <w:trHeight w:val="31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income (loss) from discontinued operations</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240</w:t>
            </w:r>
          </w:p>
        </w:tc>
        <w:tc>
          <w:tcPr>
            <w:tcW w:w="0" w:type="dxa"/>
            <w:vAlign w:val="bottom"/>
          </w:tcPr>
          <w:p>
            <w:pPr>
              <w:spacing w:after="0"/>
              <w:rPr>
                <w:sz w:val="1"/>
                <w:szCs w:val="1"/>
                <w:color w:val="auto"/>
              </w:rPr>
            </w:pPr>
          </w:p>
        </w:tc>
      </w:tr>
      <w:tr>
        <w:trPr>
          <w:trHeight w:val="31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income (loss) attributable to noncontrolling interests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income (loss) from discontinued operations related to NCR Atleos</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2"/>
                <w:szCs w:val="22"/>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2"/>
                <w:szCs w:val="22"/>
                <w:color w:val="auto"/>
              </w:rPr>
            </w:pPr>
          </w:p>
        </w:tc>
        <w:tc>
          <w:tcPr>
            <w:tcW w:w="4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240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87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The following table represents the major classes of assets and liabilities of discontinued operations: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0" w:type="dxa"/>
            <w:vAlign w:val="bottom"/>
          </w:tcPr>
          <w:p>
            <w:pPr>
              <w:spacing w:after="0"/>
              <w:rPr>
                <w:sz w:val="1"/>
                <w:szCs w:val="1"/>
                <w:color w:val="auto"/>
              </w:rPr>
            </w:pPr>
          </w:p>
        </w:tc>
      </w:tr>
      <w:tr>
        <w:trPr>
          <w:trHeight w:val="220"/>
        </w:trPr>
        <w:tc>
          <w:tcPr>
            <w:tcW w:w="576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0"/>
        </w:trPr>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Accounts receivable, net of allowances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0"/>
        </w:trPr>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Prepaid and other current assets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20"/>
        </w:trPr>
        <w:tc>
          <w:tcPr>
            <w:tcW w:w="576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Total current assets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00"/>
        </w:trPr>
        <w:tc>
          <w:tcPr>
            <w:tcW w:w="57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b w:val="1"/>
                <w:bCs w:val="1"/>
                <w:color w:val="auto"/>
              </w:rPr>
              <w:t>Total assets of discontinued operations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7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Accounts payable</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40"/>
        </w:trPr>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Contract liabilities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0"/>
        </w:trPr>
        <w:tc>
          <w:tcPr>
            <w:tcW w:w="57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20"/>
        </w:trPr>
        <w:tc>
          <w:tcPr>
            <w:tcW w:w="576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Total current liabilities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40"/>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liabilities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0"/>
        </w:trPr>
        <w:tc>
          <w:tcPr>
            <w:tcW w:w="5760" w:type="dxa"/>
            <w:vAlign w:val="bottom"/>
          </w:tcPr>
          <w:p>
            <w:pPr>
              <w:ind w:left="40"/>
              <w:spacing w:after="0" w:line="220" w:lineRule="exact"/>
              <w:rPr>
                <w:sz w:val="20"/>
                <w:szCs w:val="20"/>
                <w:color w:val="auto"/>
              </w:rPr>
            </w:pPr>
            <w:r>
              <w:rPr>
                <w:rFonts w:ascii="Times New Roman" w:cs="Times New Roman" w:eastAsia="Times New Roman" w:hAnsi="Times New Roman"/>
                <w:sz w:val="20"/>
                <w:szCs w:val="20"/>
                <w:color w:val="auto"/>
              </w:rPr>
              <w:t>Noncurrent liabilities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0"/>
        </w:trPr>
        <w:tc>
          <w:tcPr>
            <w:tcW w:w="576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b w:val="1"/>
                <w:bCs w:val="1"/>
                <w:color w:val="auto"/>
              </w:rPr>
              <w:t>Total liabilities of discontinued operations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-6381115</wp:posOffset>
            </wp:positionV>
            <wp:extent cx="6553200" cy="640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6553200" cy="64008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260"/>
          </w:cols>
          <w:pgMar w:left="1000" w:top="220" w:right="980" w:bottom="0" w:gutter="0" w:footer="0" w:header="0"/>
          <w:type w:val="continuous"/>
        </w:sectPr>
      </w:pPr>
    </w:p>
    <w:bookmarkStart w:id="80" w:name="page81"/>
    <w:bookmarkEnd w:id="80"/>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selected financial information related to cash flows from discontinued operations related to the</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Spin-off of NCR Atleos:</w:t>
      </w:r>
    </w:p>
    <w:p>
      <w:pPr>
        <w:spacing w:after="0" w:line="64"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80"/>
        </w:trPr>
        <w:tc>
          <w:tcPr>
            <w:tcW w:w="5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352</w:t>
            </w: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360" w:type="dxa"/>
            <w:vAlign w:val="bottom"/>
          </w:tcPr>
          <w:p>
            <w:pPr>
              <w:spacing w:after="0"/>
              <w:rPr>
                <w:sz w:val="24"/>
                <w:szCs w:val="24"/>
                <w:color w:val="auto"/>
              </w:rPr>
            </w:pP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00"/>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360" w:type="dxa"/>
            <w:vAlign w:val="bottom"/>
          </w:tcPr>
          <w:p>
            <w:pPr>
              <w:spacing w:after="0"/>
              <w:rPr>
                <w:sz w:val="24"/>
                <w:szCs w:val="24"/>
                <w:color w:val="auto"/>
              </w:rPr>
            </w:pPr>
          </w:p>
        </w:tc>
        <w:tc>
          <w:tcPr>
            <w:tcW w:w="152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-761365</wp:posOffset>
            </wp:positionV>
            <wp:extent cx="6540500" cy="787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6540500" cy="787400"/>
                    </a:xfrm>
                    <a:prstGeom prst="rect">
                      <a:avLst/>
                    </a:prstGeom>
                    <a:noFill/>
                  </pic:spPr>
                </pic:pic>
              </a:graphicData>
            </a:graphic>
          </wp:anchor>
        </w:drawing>
      </w:r>
    </w:p>
    <w:p>
      <w:pPr>
        <w:spacing w:after="0" w:line="26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Environmental Matters</w:t>
      </w:r>
    </w:p>
    <w:p>
      <w:pPr>
        <w:spacing w:after="0" w:line="259"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The costs and insurance recoveries relating to certain environmental obligations associated with discontinued operations, including those relating to the Fox River and Kalamazoo River matters, are presented in Income (loss) from discontinued operations, net of tax, in the Consolidated Statements of Operations. Income (loss) from discontinued operations, net of tax, related to environmental matters was income from discontinued operations of $8 million for the year ended December 31, 2025 and a loss from discontinued operations of $10 million and $50 million, for the years ended December 31, 2024 and 2023, respectively. Net cash used in operating activities of discontinued operations related to environmental obligations was $37 million, $20 million and $19 million for fiscal years 2025, 2024 and 2023, respectively. Refer to Note 11, “Commitments and Contingencies” for further information.</w:t>
      </w:r>
    </w:p>
    <w:p>
      <w:pPr>
        <w:spacing w:after="0" w:line="206" w:lineRule="exact"/>
        <w:rPr>
          <w:sz w:val="20"/>
          <w:szCs w:val="20"/>
          <w:color w:val="auto"/>
        </w:rPr>
      </w:pPr>
    </w:p>
    <w:p>
      <w:pPr>
        <w:ind w:left="10" w:right="5420" w:hanging="10"/>
        <w:spacing w:after="0" w:line="504" w:lineRule="auto"/>
        <w:tabs>
          <w:tab w:leader="none" w:pos="21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 AND DIVESTITURES Divestitures</w:t>
      </w:r>
    </w:p>
    <w:p>
      <w:pPr>
        <w:spacing w:after="0" w:line="1"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On September 30, 2024, the Company completed the Digital Banking Sale. Refer to Note 1, “Basis of Presentation and Significant Accounting Policies” and Note 2, “Discontinued Operations” for additional information.</w:t>
      </w:r>
    </w:p>
    <w:p>
      <w:pPr>
        <w:spacing w:after="0" w:line="181"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On October 19, 2023, the Company divested of a portion of the assets that were deemed non-strategic to its payments business, consisting primarily of merchant contracts, our front end authorization platform and certain relevant intellectual property for cash proceeds of $82 million.</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4. GOODWILL AND PURCHASED INTANGIBLE ASSETS</w:t>
      </w:r>
    </w:p>
    <w:p>
      <w:pPr>
        <w:spacing w:after="0" w:line="253" w:lineRule="exact"/>
        <w:rPr>
          <w:sz w:val="20"/>
          <w:szCs w:val="20"/>
          <w:color w:val="auto"/>
        </w:rPr>
      </w:pPr>
    </w:p>
    <w:p>
      <w:pPr>
        <w:jc w:val="both"/>
        <w:ind w:left="1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 xml:space="preserve">Goodwill by Segment </w:t>
      </w:r>
      <w:r>
        <w:rPr>
          <w:rFonts w:ascii="Times New Roman" w:cs="Times New Roman" w:eastAsia="Times New Roman" w:hAnsi="Times New Roman"/>
          <w:sz w:val="20"/>
          <w:szCs w:val="20"/>
          <w:color w:val="auto"/>
        </w:rPr>
        <w:t>The carrying amounts of goodwill by segment as of December 31, 2025 and 2024 are included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tables below. Foreign currency fluctuations are included within other adjustments. Additionally, during 2025, the Company divested of a non-strategic business and derecognized $2 million of goodwill, reflected within other adjustments in the Restaurants segment.</w:t>
      </w:r>
    </w:p>
    <w:p>
      <w:pPr>
        <w:spacing w:after="0" w:line="200" w:lineRule="exact"/>
        <w:rPr>
          <w:sz w:val="20"/>
          <w:szCs w:val="20"/>
          <w:color w:val="auto"/>
        </w:rPr>
      </w:pPr>
    </w:p>
    <w:p>
      <w:pPr>
        <w:spacing w:after="0" w:line="251" w:lineRule="exact"/>
        <w:rPr>
          <w:sz w:val="20"/>
          <w:szCs w:val="20"/>
          <w:color w:val="auto"/>
        </w:rPr>
      </w:pPr>
    </w:p>
    <w:tbl>
      <w:tblPr>
        <w:tblLayout w:type="fixed"/>
        <w:tblInd w:w="130" w:type="dxa"/>
        <w:tblCellMar>
          <w:top w:w="0" w:type="dxa"/>
          <w:left w:w="0" w:type="dxa"/>
          <w:bottom w:w="0" w:type="dxa"/>
          <w:right w:w="0" w:type="dxa"/>
        </w:tblCellMar>
      </w:tblPr>
      <w:tr>
        <w:trPr>
          <w:trHeight w:val="217"/>
        </w:trPr>
        <w:tc>
          <w:tcPr>
            <w:tcW w:w="1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6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1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24"/>
                <w:szCs w:val="24"/>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w w:val="99"/>
              </w:rPr>
              <w:t>Goodwill</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24"/>
                <w:szCs w:val="24"/>
                <w:color w:val="auto"/>
              </w:rPr>
            </w:pPr>
          </w:p>
        </w:tc>
        <w:tc>
          <w:tcPr>
            <w:tcW w:w="660" w:type="dxa"/>
            <w:vAlign w:val="bottom"/>
            <w:vMerge w:val="restart"/>
          </w:tcPr>
          <w:p>
            <w:pPr>
              <w:jc w:val="right"/>
              <w:ind w:right="16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24"/>
                <w:szCs w:val="24"/>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60" w:type="dxa"/>
            <w:vAlign w:val="bottom"/>
          </w:tcPr>
          <w:p>
            <w:pPr>
              <w:spacing w:after="0"/>
              <w:rPr>
                <w:sz w:val="24"/>
                <w:szCs w:val="24"/>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60" w:type="dxa"/>
            <w:vAlign w:val="bottom"/>
          </w:tcPr>
          <w:p>
            <w:pPr>
              <w:spacing w:after="0"/>
              <w:rPr>
                <w:sz w:val="24"/>
                <w:szCs w:val="24"/>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vMerge w:val="restart"/>
          </w:tcPr>
          <w:p>
            <w:pPr>
              <w:spacing w:after="0"/>
              <w:rPr>
                <w:sz w:val="24"/>
                <w:szCs w:val="24"/>
                <w:color w:val="auto"/>
              </w:rPr>
            </w:pPr>
          </w:p>
        </w:tc>
        <w:tc>
          <w:tcPr>
            <w:tcW w:w="84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600" w:type="dxa"/>
            <w:vAlign w:val="bottom"/>
            <w:vMerge w:val="restart"/>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186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86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1,079</w:t>
            </w:r>
          </w:p>
        </w:tc>
        <w:tc>
          <w:tcPr>
            <w:tcW w:w="4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1,045</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80" w:type="dxa"/>
            <w:vAlign w:val="bottom"/>
          </w:tcPr>
          <w:p>
            <w:pPr>
              <w:spacing w:after="0"/>
              <w:rPr>
                <w:sz w:val="24"/>
                <w:szCs w:val="24"/>
                <w:color w:val="auto"/>
              </w:rPr>
            </w:pP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1,084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1,050</w:t>
            </w:r>
          </w:p>
        </w:tc>
        <w:tc>
          <w:tcPr>
            <w:tcW w:w="0" w:type="dxa"/>
            <w:vAlign w:val="bottom"/>
          </w:tcPr>
          <w:p>
            <w:pPr>
              <w:spacing w:after="0"/>
              <w:rPr>
                <w:sz w:val="1"/>
                <w:szCs w:val="1"/>
                <w:color w:val="auto"/>
              </w:rPr>
            </w:pPr>
          </w:p>
        </w:tc>
      </w:tr>
      <w:tr>
        <w:trPr>
          <w:trHeight w:val="303"/>
        </w:trPr>
        <w:tc>
          <w:tcPr>
            <w:tcW w:w="1860" w:type="dxa"/>
            <w:vAlign w:val="bottom"/>
          </w:tcPr>
          <w:p>
            <w:pPr>
              <w:spacing w:after="0"/>
              <w:rPr>
                <w:sz w:val="20"/>
                <w:szCs w:val="20"/>
                <w:color w:val="auto"/>
              </w:rPr>
            </w:pPr>
            <w:r>
              <w:rPr>
                <w:rFonts w:ascii="Times New Roman" w:cs="Times New Roman" w:eastAsia="Times New Roman" w:hAnsi="Times New Roman"/>
                <w:sz w:val="20"/>
                <w:szCs w:val="20"/>
                <w:color w:val="auto"/>
              </w:rPr>
              <w:t>Restaurants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494</w:t>
            </w: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493</w:t>
            </w: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470</w:t>
            </w:r>
          </w:p>
        </w:tc>
        <w:tc>
          <w:tcPr>
            <w:tcW w:w="0" w:type="dxa"/>
            <w:vAlign w:val="bottom"/>
          </w:tcPr>
          <w:p>
            <w:pPr>
              <w:spacing w:after="0"/>
              <w:rPr>
                <w:sz w:val="1"/>
                <w:szCs w:val="1"/>
                <w:color w:val="auto"/>
              </w:rPr>
            </w:pPr>
          </w:p>
        </w:tc>
      </w:tr>
      <w:tr>
        <w:trPr>
          <w:trHeight w:val="260"/>
        </w:trPr>
        <w:tc>
          <w:tcPr>
            <w:tcW w:w="1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goodwill</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1,573</w:t>
            </w:r>
          </w:p>
        </w:tc>
        <w:tc>
          <w:tcPr>
            <w:tcW w:w="4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1,516</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5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80" w:type="dxa"/>
            <w:vAlign w:val="bottom"/>
          </w:tcPr>
          <w:p>
            <w:pPr>
              <w:spacing w:after="0"/>
              <w:rPr>
                <w:sz w:val="22"/>
                <w:szCs w:val="22"/>
                <w:color w:val="auto"/>
              </w:rPr>
            </w:pPr>
          </w:p>
        </w:tc>
        <w:tc>
          <w:tcPr>
            <w:tcW w:w="240" w:type="dxa"/>
            <w:vAlign w:val="bottom"/>
          </w:tcPr>
          <w:p>
            <w:pPr>
              <w:jc w:val="right"/>
              <w:ind w:right="7"/>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1,577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1,520</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-602615</wp:posOffset>
            </wp:positionV>
            <wp:extent cx="6457950" cy="6223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6457950" cy="622300"/>
                    </a:xfrm>
                    <a:prstGeom prst="rect">
                      <a:avLst/>
                    </a:prstGeom>
                    <a:noFill/>
                  </pic:spPr>
                </pic:pic>
              </a:graphicData>
            </a:graphic>
          </wp:anchor>
        </w:drawing>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270"/>
          </w:cols>
          <w:pgMar w:left="990" w:top="220" w:right="9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Identifiable Intangible Assets </w:t>
      </w:r>
      <w:r>
        <w:rPr>
          <w:rFonts w:ascii="Times New Roman" w:cs="Times New Roman" w:eastAsia="Times New Roman" w:hAnsi="Times New Roman"/>
          <w:sz w:val="20"/>
          <w:szCs w:val="20"/>
          <w:color w:val="auto"/>
        </w:rPr>
        <w:t>NCR Voyix’s purchased intangible assets, reported in Intangibles, net in the Consolidated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Balance Sheets, were specifically identified when acquired, and are deemed to have finite lives. The gross carrying amount and accumulated amortization for the Company’s identifiable intangible assets were as set forth in the table below.</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50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6"/>
                <w:szCs w:val="16"/>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0" w:type="dxa"/>
            <w:vAlign w:val="bottom"/>
          </w:tcPr>
          <w:p>
            <w:pPr>
              <w:spacing w:after="0"/>
              <w:rPr>
                <w:sz w:val="1"/>
                <w:szCs w:val="1"/>
                <w:color w:val="auto"/>
              </w:rPr>
            </w:pPr>
          </w:p>
        </w:tc>
      </w:tr>
      <w:tr>
        <w:trPr>
          <w:trHeight w:val="160"/>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6"/>
              </w:rPr>
              <w:t>Period</w:t>
            </w: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800" w:type="dxa"/>
            <w:vAlign w:val="bottom"/>
            <w:vMerge w:val="continue"/>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40" w:type="dxa"/>
            <w:vAlign w:val="bottom"/>
          </w:tcPr>
          <w:p>
            <w:pPr>
              <w:spacing w:after="0"/>
              <w:rPr>
                <w:sz w:val="18"/>
                <w:szCs w:val="18"/>
                <w:color w:val="auto"/>
              </w:rPr>
            </w:pPr>
          </w:p>
        </w:tc>
        <w:tc>
          <w:tcPr>
            <w:tcW w:w="98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Identifiable intangible assets</w:t>
            </w: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Reseller &amp; customer relationships</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1 - 20</w:t>
            </w:r>
          </w:p>
        </w:tc>
        <w:tc>
          <w:tcPr>
            <w:tcW w:w="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(280)</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0" w:type="dxa"/>
            <w:vAlign w:val="bottom"/>
          </w:tcPr>
          <w:p>
            <w:pPr>
              <w:spacing w:after="0"/>
              <w:rPr>
                <w:sz w:val="1"/>
                <w:szCs w:val="1"/>
                <w:color w:val="auto"/>
              </w:rPr>
            </w:pPr>
          </w:p>
        </w:tc>
      </w:tr>
      <w:tr>
        <w:trPr>
          <w:trHeight w:val="300"/>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Intellectual property</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2 - 8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0" w:type="dxa"/>
            <w:vAlign w:val="bottom"/>
          </w:tcPr>
          <w:p>
            <w:pPr>
              <w:spacing w:after="0"/>
              <w:rPr>
                <w:sz w:val="1"/>
                <w:szCs w:val="1"/>
                <w:color w:val="auto"/>
              </w:rPr>
            </w:pPr>
          </w:p>
        </w:tc>
      </w:tr>
      <w:tr>
        <w:trPr>
          <w:trHeight w:val="303"/>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Tradenames</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1 - 10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60"/>
        </w:trPr>
        <w:tc>
          <w:tcPr>
            <w:tcW w:w="3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identifiable intangible assets</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(662)</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-983615</wp:posOffset>
            </wp:positionV>
            <wp:extent cx="6524625" cy="10033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6524625" cy="10033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Amortization expense related to identifiable intangible assets was $25 million, $28 million, and $41 million for the years ended December 31, 2025, 2024 and 2023,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aggregate amortization expense (estimated) for identifiable intangible assets for the following periods is:</w:t>
      </w:r>
    </w:p>
    <w:p>
      <w:pPr>
        <w:spacing w:after="0" w:line="245"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44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 (estimated)</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65"/>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3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2028</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2029</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2030</w:t>
            </w:r>
          </w:p>
        </w:tc>
      </w:tr>
      <w:tr>
        <w:trPr>
          <w:trHeight w:val="277"/>
        </w:trPr>
        <w:tc>
          <w:tcPr>
            <w:tcW w:w="44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expense</w:t>
            </w:r>
          </w:p>
        </w:tc>
        <w:tc>
          <w:tcPr>
            <w:tcW w:w="740" w:type="dxa"/>
            <w:vAlign w:val="bottom"/>
          </w:tcPr>
          <w:p>
            <w:pPr>
              <w:jc w:val="right"/>
              <w:ind w:right="49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-194310</wp:posOffset>
            </wp:positionV>
            <wp:extent cx="6473825" cy="215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6473825" cy="21590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SEGMENT INFORMATION AND CONCENTRATIONS</w:t>
      </w:r>
    </w:p>
    <w:p>
      <w:pPr>
        <w:spacing w:after="0" w:line="25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Subsequent to the Digital Banking Sale and the Spin-Off, as described in Note 1, “Basis of Presentation and Significant Accounting Policies”, the Company manages and reports the following segments:</w:t>
      </w:r>
    </w:p>
    <w:p>
      <w:pPr>
        <w:spacing w:after="0" w:line="178" w:lineRule="exact"/>
        <w:rPr>
          <w:sz w:val="20"/>
          <w:szCs w:val="20"/>
          <w:color w:val="auto"/>
        </w:rPr>
      </w:pPr>
    </w:p>
    <w:p>
      <w:pPr>
        <w:jc w:val="both"/>
        <w:ind w:left="720" w:hanging="370"/>
        <w:spacing w:after="0" w:line="256" w:lineRule="auto"/>
        <w:tabs>
          <w:tab w:leader="none" w:pos="720" w:val="left"/>
        </w:tabs>
        <w:numPr>
          <w:ilvl w:val="0"/>
          <w:numId w:val="5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Retail </w:t>
      </w:r>
      <w:r>
        <w:rPr>
          <w:rFonts w:ascii="Times New Roman" w:cs="Times New Roman" w:eastAsia="Times New Roman" w:hAnsi="Times New Roman"/>
          <w:sz w:val="20"/>
          <w:szCs w:val="20"/>
          <w:color w:val="auto"/>
        </w:rPr>
        <w:t>- Our Retail segment primarily serves enterprise and mid-market retailers in the convenience, fuel &amp; retail;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grocery, drug &amp; mass merchandise; and department &amp; specialty retail industries. Our retail solutions provide end-to-end connectivity to a customer’s operations, including, but not limited to the following operational activities, point-of-sale (“POS”), payments, inventory management, fraud and loss prevention, loyalty and consumer engagement. Additionally, these solutions include open application program interface (“API”) connectivity to retail software platforms and applications, hardware terminals, self-service kiosks, including self-checkout (“SCO”), payment processing and merchant acquiring solutions and barcode scanners.</w:t>
      </w:r>
    </w:p>
    <w:p>
      <w:pPr>
        <w:spacing w:after="0" w:line="202" w:lineRule="exact"/>
        <w:rPr>
          <w:rFonts w:ascii="Times New Roman" w:cs="Times New Roman" w:eastAsia="Times New Roman" w:hAnsi="Times New Roman"/>
          <w:sz w:val="20"/>
          <w:szCs w:val="20"/>
          <w:b w:val="1"/>
          <w:bCs w:val="1"/>
          <w:i w:val="1"/>
          <w:iCs w:val="1"/>
          <w:color w:val="auto"/>
        </w:rPr>
      </w:pPr>
    </w:p>
    <w:p>
      <w:pPr>
        <w:jc w:val="both"/>
        <w:ind w:left="720" w:right="20" w:hanging="370"/>
        <w:spacing w:after="0" w:line="259" w:lineRule="auto"/>
        <w:tabs>
          <w:tab w:leader="none" w:pos="720" w:val="left"/>
        </w:tabs>
        <w:numPr>
          <w:ilvl w:val="0"/>
          <w:numId w:val="5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Restaurants </w:t>
      </w:r>
      <w:r>
        <w:rPr>
          <w:rFonts w:ascii="Times New Roman" w:cs="Times New Roman" w:eastAsia="Times New Roman" w:hAnsi="Times New Roman"/>
          <w:sz w:val="20"/>
          <w:szCs w:val="20"/>
          <w:color w:val="auto"/>
        </w:rPr>
        <w:t>- Our Restaurants segment is focused on serving restaurants and food service establishments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quick-service, table-service and fast casual restaurants of all sizes. Our restaurant solutions include, among others, POS hardware and software solutions, payment processing and merchant acquiring services, installation, maintenance, and managed and professional services. These solutions are designed to help streamline order and transaction processing, increase consumer engagement, increase kitchen productivity and reduce operating costs.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Corporate and Other includes income and expenses related to corporate functions that are not specifically attributable to any of our two individual reportable segments. In addition, Corporate and Other includes certain non-strategic businesses that are considered immaterial operating segment(s), as well as commercial agreements with NCR Atleos.</w:t>
      </w:r>
    </w:p>
    <w:p>
      <w:pPr>
        <w:spacing w:after="0" w:line="19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These segments represent components of the Company for which separate financial information is available that is utilized on a regular basis by the chief operating decision maker (“CODM”), the CEO. The CODM considers the budget-to-actual and forecast-to-actual variances for revenue and segment Adjusted EBITDA on a periodic basis in assessing segment performance and in allocating the Company’s resources. Adjusted EBITDA is defined as GAAP net income (loss) from continuing operations attributable to NCR Voyix plus interest expense, net; plus income tax expense (benefit); plus depreciation and amortization (excluding acquisition-related amortization of intangibles); plus stock-based compensation expense; plus pension mark-to-market adjustments and other special items, including amortization of acquisition-related intangibles, acquisition-related costs, loss (gain) on disposal of businesses, loss (gain) on extinguishment of debt, separation-related costs, cyber ransomware incident recovery costs net of insurance recoveries, fraudulent ACH disbursements costs net of recoveries, foreign currency devaluation, transformation and restructuring charges (which includes integration, severance and other exit and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260"/>
          </w:cols>
          <w:pgMar w:left="1000" w:top="220" w:right="9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disposal costs), strategic initiative costs and litigation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GAAP net income (loss) from continuing operations attributable to the Company.</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Assets are not allocated to segments, and thus are not included in the assessment of segment performance. Consequently, we do not disclose total assets by reportable segment. The accounting policies used to determine the results of the operating segments are the same as those utilized for the consolidated financial statements as a whole. Intersegment sales and transfers are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summarized financial information for the Company’s reportable segments for the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Restaurants</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1"/>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Revenue by Segment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1,842</w:t>
            </w:r>
          </w:p>
        </w:tc>
        <w:tc>
          <w:tcPr>
            <w:tcW w:w="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818</w:t>
            </w:r>
          </w:p>
        </w:tc>
        <w:tc>
          <w:tcPr>
            <w:tcW w:w="60" w:type="dxa"/>
            <w:vAlign w:val="bottom"/>
          </w:tcPr>
          <w:p>
            <w:pPr>
              <w:spacing w:after="0"/>
              <w:rPr>
                <w:sz w:val="21"/>
                <w:szCs w:val="21"/>
                <w:color w:val="auto"/>
              </w:rPr>
            </w:pP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2,660</w:t>
            </w:r>
          </w:p>
        </w:tc>
        <w:tc>
          <w:tcPr>
            <w:tcW w:w="0" w:type="dxa"/>
            <w:vAlign w:val="bottom"/>
          </w:tcPr>
          <w:p>
            <w:pPr>
              <w:spacing w:after="0"/>
              <w:rPr>
                <w:sz w:val="1"/>
                <w:szCs w:val="1"/>
                <w:color w:val="auto"/>
              </w:rPr>
            </w:pPr>
          </w:p>
        </w:tc>
      </w:tr>
      <w:tr>
        <w:trPr>
          <w:trHeight w:val="239"/>
        </w:trPr>
        <w:tc>
          <w:tcPr>
            <w:tcW w:w="54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Other</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0" w:type="dxa"/>
            <w:vAlign w:val="bottom"/>
          </w:tcPr>
          <w:p>
            <w:pPr>
              <w:spacing w:after="0"/>
              <w:rPr>
                <w:sz w:val="1"/>
                <w:szCs w:val="1"/>
                <w:color w:val="auto"/>
              </w:rPr>
            </w:pPr>
          </w:p>
        </w:tc>
      </w:tr>
      <w:tr>
        <w:trPr>
          <w:trHeight w:val="215"/>
        </w:trPr>
        <w:tc>
          <w:tcPr>
            <w:tcW w:w="548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Total Revenue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100"/>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2,687</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Cost of Revenue</w:t>
            </w:r>
          </w:p>
        </w:tc>
        <w:tc>
          <w:tcPr>
            <w:tcW w:w="3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1,277</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418</w:t>
            </w: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4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480" w:type="dxa"/>
            <w:vAlign w:val="bottom"/>
          </w:tcPr>
          <w:p>
            <w:pPr>
              <w:spacing w:after="0" w:line="268" w:lineRule="exact"/>
              <w:rPr>
                <w:sz w:val="20"/>
                <w:szCs w:val="20"/>
                <w:color w:val="auto"/>
              </w:rPr>
            </w:pPr>
            <w:r>
              <w:rPr>
                <w:rFonts w:ascii="Times New Roman" w:cs="Times New Roman" w:eastAsia="Times New Roman" w:hAnsi="Times New Roman"/>
                <w:sz w:val="20"/>
                <w:szCs w:val="20"/>
                <w:b w:val="1"/>
                <w:bCs w:val="1"/>
                <w:color w:val="auto"/>
              </w:rPr>
              <w:t>Other segment items</w:t>
            </w:r>
            <w:r>
              <w:rPr>
                <w:rFonts w:ascii="Times New Roman" w:cs="Times New Roman" w:eastAsia="Times New Roman" w:hAnsi="Times New Roman"/>
                <w:sz w:val="26"/>
                <w:szCs w:val="26"/>
                <w:b w:val="1"/>
                <w:bCs w:val="1"/>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133</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Segment Adjusted EBITDA</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350</w:t>
            </w:r>
          </w:p>
        </w:tc>
        <w:tc>
          <w:tcPr>
            <w:tcW w:w="60" w:type="dxa"/>
            <w:vAlign w:val="bottom"/>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267</w:t>
            </w:r>
          </w:p>
        </w:tc>
        <w:tc>
          <w:tcPr>
            <w:tcW w:w="60" w:type="dxa"/>
            <w:vAlign w:val="bottom"/>
          </w:tcPr>
          <w:p>
            <w:pPr>
              <w:spacing w:after="0"/>
              <w:rPr>
                <w:sz w:val="21"/>
                <w:szCs w:val="21"/>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617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-1040765</wp:posOffset>
            </wp:positionV>
            <wp:extent cx="6467475" cy="1060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6467475" cy="106045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summarized financial information for the Company’s reportable segments for the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Restaurants</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8"/>
        </w:trPr>
        <w:tc>
          <w:tcPr>
            <w:tcW w:w="5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Revenue by Segment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2,781</w:t>
            </w:r>
          </w:p>
        </w:tc>
        <w:tc>
          <w:tcPr>
            <w:tcW w:w="0" w:type="dxa"/>
            <w:vAlign w:val="bottom"/>
          </w:tcPr>
          <w:p>
            <w:pPr>
              <w:spacing w:after="0"/>
              <w:rPr>
                <w:sz w:val="1"/>
                <w:szCs w:val="1"/>
                <w:color w:val="auto"/>
              </w:rPr>
            </w:pPr>
          </w:p>
        </w:tc>
      </w:tr>
      <w:tr>
        <w:trPr>
          <w:trHeight w:val="232"/>
        </w:trPr>
        <w:tc>
          <w:tcPr>
            <w:tcW w:w="5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15"/>
        </w:trPr>
        <w:tc>
          <w:tcPr>
            <w:tcW w:w="54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Total Revenue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10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2,818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1,378</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426</w:t>
            </w: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26"/>
                <w:szCs w:val="26"/>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4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Segment Adjusted EBITDA</w:t>
            </w:r>
          </w:p>
        </w:tc>
        <w:tc>
          <w:tcPr>
            <w:tcW w:w="360" w:type="dxa"/>
            <w:vAlign w:val="bottom"/>
            <w:tcBorders>
              <w:bottom w:val="single" w:sz="8" w:color="auto"/>
            </w:tcBorders>
          </w:tcPr>
          <w:p>
            <w:pPr>
              <w:jc w:val="right"/>
              <w:ind w:right="10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383</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251</w:t>
            </w: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10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634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-1002665</wp:posOffset>
            </wp:positionV>
            <wp:extent cx="6467475" cy="1022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6467475" cy="102235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summarized financial information for the Company’s reportable segments for the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2023:</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Restaurants</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8"/>
        </w:trPr>
        <w:tc>
          <w:tcPr>
            <w:tcW w:w="5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Revenue by Segment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3,063</w:t>
            </w:r>
          </w:p>
        </w:tc>
        <w:tc>
          <w:tcPr>
            <w:tcW w:w="0" w:type="dxa"/>
            <w:vAlign w:val="bottom"/>
          </w:tcPr>
          <w:p>
            <w:pPr>
              <w:spacing w:after="0"/>
              <w:rPr>
                <w:sz w:val="1"/>
                <w:szCs w:val="1"/>
                <w:color w:val="auto"/>
              </w:rPr>
            </w:pPr>
          </w:p>
        </w:tc>
      </w:tr>
      <w:tr>
        <w:trPr>
          <w:trHeight w:val="232"/>
        </w:trPr>
        <w:tc>
          <w:tcPr>
            <w:tcW w:w="5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15"/>
        </w:trPr>
        <w:tc>
          <w:tcPr>
            <w:tcW w:w="54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Total Revenue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10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3,166</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6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1,548</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519</w:t>
            </w: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480" w:type="dxa"/>
            <w:vAlign w:val="bottom"/>
          </w:tcPr>
          <w:p>
            <w:pPr>
              <w:spacing w:after="0" w:line="263" w:lineRule="exact"/>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26"/>
                <w:szCs w:val="26"/>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4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Segment Adjusted EBITDA</w:t>
            </w:r>
          </w:p>
        </w:tc>
        <w:tc>
          <w:tcPr>
            <w:tcW w:w="360" w:type="dxa"/>
            <w:vAlign w:val="bottom"/>
            <w:tcBorders>
              <w:bottom w:val="single" w:sz="8" w:color="auto"/>
            </w:tcBorders>
          </w:tcPr>
          <w:p>
            <w:pPr>
              <w:jc w:val="right"/>
              <w:ind w:right="10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411</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197</w:t>
            </w: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10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608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-1002665</wp:posOffset>
            </wp:positionV>
            <wp:extent cx="6467475" cy="1022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6467475" cy="102235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Other segment items primarily includes selling, general and administrative expenses and research and development expenses.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260"/>
          </w:cols>
          <w:pgMar w:left="1000" w:top="220" w:right="980" w:bottom="0" w:gutter="0" w:footer="0" w:header="0"/>
          <w:type w:val="continuous"/>
        </w:sectPr>
      </w:pPr>
    </w:p>
    <w:bookmarkStart w:id="83" w:name="page84"/>
    <w:bookmarkEnd w:id="83"/>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reconciles Segment Adjusted EBITDA to Net income (loss) from continuing operations attributable to</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NCR Voyix:</w:t>
      </w:r>
    </w:p>
    <w:p>
      <w:pPr>
        <w:spacing w:after="0" w:line="109"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6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Segment Adjusted EBITDA</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w:t>
            </w:r>
          </w:p>
        </w:tc>
      </w:tr>
      <w:tr>
        <w:trPr>
          <w:trHeight w:val="28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Corporate and other income and expenses not allocated to segments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r>
      <w:tr>
        <w:trPr>
          <w:trHeight w:val="285"/>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r>
      <w:tr>
        <w:trPr>
          <w:trHeight w:val="285"/>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Acquisition-related amortization of intangibles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30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r>
              <w:rPr>
                <w:rFonts w:ascii="Times New Roman" w:cs="Times New Roman" w:eastAsia="Times New Roman" w:hAnsi="Times New Roman"/>
                <w:sz w:val="26"/>
                <w:szCs w:val="26"/>
                <w:color w:val="auto"/>
                <w:vertAlign w:val="superscript"/>
              </w:rPr>
              <w:t>(1)</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0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Acquisition-related costs</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Loss (gain) on debt extinguishment</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85"/>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(benefit)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r>
      <w:tr>
        <w:trPr>
          <w:trHeight w:val="285"/>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85"/>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Pension mark-to-market adjustments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04"/>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Transformation and restructuring costs</w:t>
            </w:r>
            <w:r>
              <w:rPr>
                <w:rFonts w:ascii="Times New Roman" w:cs="Times New Roman" w:eastAsia="Times New Roman" w:hAnsi="Times New Roman"/>
                <w:sz w:val="26"/>
                <w:szCs w:val="26"/>
                <w:color w:val="auto"/>
                <w:vertAlign w:val="superscript"/>
              </w:rPr>
              <w:t>(3)</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5"/>
        </w:trPr>
        <w:tc>
          <w:tcPr>
            <w:tcW w:w="608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Separation costs</w:t>
            </w:r>
            <w:r>
              <w:rPr>
                <w:rFonts w:ascii="Times New Roman" w:cs="Times New Roman" w:eastAsia="Times New Roman" w:hAnsi="Times New Roman"/>
                <w:sz w:val="26"/>
                <w:szCs w:val="26"/>
                <w:color w:val="auto"/>
                <w:vertAlign w:val="superscript"/>
              </w:rPr>
              <w:t>(4)</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Loss (gain) on disposal of businesses</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10"/>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devaluation</w:t>
            </w:r>
            <w:r>
              <w:rPr>
                <w:rFonts w:ascii="Times New Roman" w:cs="Times New Roman" w:eastAsia="Times New Roman" w:hAnsi="Times New Roman"/>
                <w:sz w:val="26"/>
                <w:szCs w:val="26"/>
                <w:color w:val="auto"/>
                <w:vertAlign w:val="superscript"/>
              </w:rPr>
              <w:t>(5)</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9"/>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Fraudulent ACH disbursements</w:t>
            </w:r>
            <w:r>
              <w:rPr>
                <w:rFonts w:ascii="Times New Roman" w:cs="Times New Roman" w:eastAsia="Times New Roman" w:hAnsi="Times New Roman"/>
                <w:sz w:val="26"/>
                <w:szCs w:val="26"/>
                <w:color w:val="auto"/>
                <w:vertAlign w:val="superscript"/>
              </w:rPr>
              <w:t>(6)</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85"/>
        </w:trPr>
        <w:tc>
          <w:tcPr>
            <w:tcW w:w="608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Cyber ransomware incident recovery costs</w:t>
            </w:r>
            <w:r>
              <w:rPr>
                <w:rFonts w:ascii="Times New Roman" w:cs="Times New Roman" w:eastAsia="Times New Roman" w:hAnsi="Times New Roman"/>
                <w:sz w:val="26"/>
                <w:szCs w:val="26"/>
                <w:color w:val="auto"/>
                <w:vertAlign w:val="superscript"/>
              </w:rPr>
              <w:t>(7)</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85"/>
        </w:trPr>
        <w:tc>
          <w:tcPr>
            <w:tcW w:w="6080" w:type="dxa"/>
            <w:vAlign w:val="bottom"/>
          </w:tcPr>
          <w:p>
            <w:pPr>
              <w:spacing w:after="0" w:line="285" w:lineRule="exact"/>
              <w:rPr>
                <w:sz w:val="20"/>
                <w:szCs w:val="20"/>
                <w:color w:val="auto"/>
              </w:rPr>
            </w:pPr>
            <w:r>
              <w:rPr>
                <w:rFonts w:ascii="Times New Roman" w:cs="Times New Roman" w:eastAsia="Times New Roman" w:hAnsi="Times New Roman"/>
                <w:sz w:val="20"/>
                <w:szCs w:val="20"/>
                <w:color w:val="auto"/>
              </w:rPr>
              <w:t>Strategic initiatives</w:t>
            </w:r>
            <w:r>
              <w:rPr>
                <w:rFonts w:ascii="Times New Roman" w:cs="Times New Roman" w:eastAsia="Times New Roman" w:hAnsi="Times New Roman"/>
                <w:sz w:val="26"/>
                <w:szCs w:val="26"/>
                <w:color w:val="auto"/>
                <w:vertAlign w:val="superscript"/>
              </w:rPr>
              <w:t>(8)</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7"/>
        </w:trPr>
        <w:tc>
          <w:tcPr>
            <w:tcW w:w="6080" w:type="dxa"/>
            <w:vAlign w:val="bottom"/>
          </w:tcPr>
          <w:p>
            <w:pPr>
              <w:spacing w:after="0" w:line="267" w:lineRule="exact"/>
              <w:rPr>
                <w:sz w:val="20"/>
                <w:szCs w:val="20"/>
                <w:color w:val="auto"/>
              </w:rPr>
            </w:pPr>
            <w:r>
              <w:rPr>
                <w:rFonts w:ascii="Times New Roman" w:cs="Times New Roman" w:eastAsia="Times New Roman" w:hAnsi="Times New Roman"/>
                <w:sz w:val="20"/>
                <w:szCs w:val="20"/>
                <w:color w:val="auto"/>
              </w:rPr>
              <w:t>Litigation costs</w:t>
            </w:r>
            <w:r>
              <w:rPr>
                <w:rFonts w:ascii="Times New Roman" w:cs="Times New Roman" w:eastAsia="Times New Roman" w:hAnsi="Times New Roman"/>
                <w:sz w:val="26"/>
                <w:szCs w:val="26"/>
                <w:color w:val="auto"/>
                <w:vertAlign w:val="superscript"/>
              </w:rPr>
              <w:t>(9)</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0"/>
        </w:trPr>
        <w:tc>
          <w:tcPr>
            <w:tcW w:w="608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Net income (loss) from continuing operations attributable to NCR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5"/>
        </w:trPr>
        <w:tc>
          <w:tcPr>
            <w:tcW w:w="6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Voyix</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r>
      <w:tr>
        <w:trPr>
          <w:trHeight w:val="20"/>
        </w:trPr>
        <w:tc>
          <w:tcPr>
            <w:tcW w:w="6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-3803015</wp:posOffset>
            </wp:positionV>
            <wp:extent cx="6543675" cy="382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6543675" cy="3822700"/>
                    </a:xfrm>
                    <a:prstGeom prst="rect">
                      <a:avLst/>
                    </a:prstGeom>
                    <a:noFill/>
                  </pic:spPr>
                </pic:pic>
              </a:graphicData>
            </a:graphic>
          </wp:anchor>
        </w:drawing>
      </w:r>
    </w:p>
    <w:p>
      <w:pPr>
        <w:jc w:val="both"/>
        <w:ind w:left="10" w:hanging="10"/>
        <w:spacing w:after="0" w:line="247" w:lineRule="auto"/>
        <w:tabs>
          <w:tab w:leader="none" w:pos="163" w:val="left"/>
        </w:tabs>
        <w:numPr>
          <w:ilvl w:val="0"/>
          <w:numId w:val="6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During the three months ended September 30, 2023, it was determined that the transactions underlying the unrealized gains on terminated interest rate swap and cap agreements reported in Accumulated other comprehensive income were probable of not occurring under ASC 815, </w:t>
      </w:r>
      <w:r>
        <w:rPr>
          <w:rFonts w:ascii="Times New Roman" w:cs="Times New Roman" w:eastAsia="Times New Roman" w:hAnsi="Times New Roman"/>
          <w:sz w:val="15"/>
          <w:szCs w:val="15"/>
          <w:b w:val="1"/>
          <w:bCs w:val="1"/>
          <w:i w:val="1"/>
          <w:iCs w:val="1"/>
          <w:color w:val="auto"/>
        </w:rPr>
        <w:t>Derivatives and Hedging</w:t>
      </w:r>
      <w:r>
        <w:rPr>
          <w:rFonts w:ascii="Times New Roman" w:cs="Times New Roman" w:eastAsia="Times New Roman" w:hAnsi="Times New Roman"/>
          <w:sz w:val="15"/>
          <w:szCs w:val="15"/>
          <w:color w:val="auto"/>
        </w:rPr>
        <w:t>. As such, $18 million of unrealized gains were recognized in Interest expense. Refer to Note 15, “Derivatives and Hedging Instruments”.</w:t>
      </w:r>
    </w:p>
    <w:p>
      <w:pPr>
        <w:ind w:left="150" w:hanging="150"/>
        <w:spacing w:after="0" w:line="210" w:lineRule="auto"/>
        <w:tabs>
          <w:tab w:leader="none" w:pos="150"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professional fees, retention bonuses, and other costs incurred related to acquisitions, which are considered non-operational in nature.</w:t>
      </w:r>
    </w:p>
    <w:p>
      <w:pPr>
        <w:spacing w:after="0" w:line="2" w:lineRule="exact"/>
        <w:rPr>
          <w:rFonts w:ascii="Times New Roman" w:cs="Times New Roman" w:eastAsia="Times New Roman" w:hAnsi="Times New Roman"/>
          <w:sz w:val="19"/>
          <w:szCs w:val="19"/>
          <w:color w:val="auto"/>
          <w:vertAlign w:val="superscript"/>
        </w:rPr>
      </w:pPr>
    </w:p>
    <w:p>
      <w:pPr>
        <w:ind w:left="10" w:hanging="10"/>
        <w:spacing w:after="0" w:line="215" w:lineRule="auto"/>
        <w:tabs>
          <w:tab w:leader="none" w:pos="192"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integration, severance, and other exit and disposal costs, which are considered non-operational in nature. Included in transformation and restructuring costs for the year ended December 31, 2025 was a gain of $10 million related to the sale of property, plant and equipment.</w:t>
      </w:r>
    </w:p>
    <w:p>
      <w:pPr>
        <w:spacing w:after="0" w:line="1" w:lineRule="exact"/>
        <w:rPr>
          <w:rFonts w:ascii="Times New Roman" w:cs="Times New Roman" w:eastAsia="Times New Roman" w:hAnsi="Times New Roman"/>
          <w:sz w:val="21"/>
          <w:szCs w:val="21"/>
          <w:color w:val="auto"/>
          <w:vertAlign w:val="superscript"/>
        </w:rPr>
      </w:pPr>
    </w:p>
    <w:p>
      <w:pPr>
        <w:ind w:left="10" w:hanging="10"/>
        <w:spacing w:after="0" w:line="216" w:lineRule="auto"/>
        <w:tabs>
          <w:tab w:leader="none" w:pos="169"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costs incurred as a result of the Spin-Off. Professional fees to effect the Spin-Off including separation management, organizational design, and legal fees have been classified within discontinued operations through October 16, 2023, the separation date.</w:t>
      </w:r>
    </w:p>
    <w:p>
      <w:pPr>
        <w:spacing w:after="0" w:line="1" w:lineRule="exact"/>
        <w:rPr>
          <w:rFonts w:ascii="Times New Roman" w:cs="Times New Roman" w:eastAsia="Times New Roman" w:hAnsi="Times New Roman"/>
          <w:sz w:val="21"/>
          <w:szCs w:val="21"/>
          <w:color w:val="auto"/>
          <w:vertAlign w:val="superscript"/>
        </w:rPr>
      </w:pPr>
    </w:p>
    <w:p>
      <w:pPr>
        <w:ind w:left="150" w:hanging="150"/>
        <w:spacing w:after="0" w:line="210" w:lineRule="auto"/>
        <w:tabs>
          <w:tab w:leader="none" w:pos="150"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gains and losses recognized during the year due to changes in valuation of the Lebanese pound and the Egyptian pound.</w:t>
      </w:r>
    </w:p>
    <w:p>
      <w:pPr>
        <w:spacing w:after="0" w:line="2" w:lineRule="exact"/>
        <w:rPr>
          <w:rFonts w:ascii="Times New Roman" w:cs="Times New Roman" w:eastAsia="Times New Roman" w:hAnsi="Times New Roman"/>
          <w:sz w:val="19"/>
          <w:szCs w:val="19"/>
          <w:color w:val="auto"/>
          <w:vertAlign w:val="superscript"/>
        </w:rPr>
      </w:pPr>
    </w:p>
    <w:p>
      <w:pPr>
        <w:ind w:left="10" w:right="20" w:hanging="10"/>
        <w:spacing w:after="0" w:line="228" w:lineRule="auto"/>
        <w:tabs>
          <w:tab w:leader="none" w:pos="162" w:val="left"/>
        </w:tabs>
        <w:numPr>
          <w:ilvl w:val="0"/>
          <w:numId w:val="6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company identified fraudulent ACH disbursements from a company bank account. Additional details regarding this item are discussed in Note 1, “Basis of Presentation and Significant Accounting Policies”.</w:t>
      </w:r>
    </w:p>
    <w:p>
      <w:pPr>
        <w:jc w:val="both"/>
        <w:ind w:left="10" w:hanging="10"/>
        <w:spacing w:after="0" w:line="226" w:lineRule="auto"/>
        <w:tabs>
          <w:tab w:leader="none" w:pos="176"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expenses to respond to, remediate and investigate the April 13, 2023 cyber ransomware incident net of insurance recoveries, which is considered a nonrecurring special item. Additional details regarding this cyber ransomware incident are discussed in Note 1, “Basis of Presentation and Significant Accounting Policies”.</w:t>
      </w:r>
    </w:p>
    <w:p>
      <w:pPr>
        <w:spacing w:after="0" w:line="2" w:lineRule="exact"/>
        <w:rPr>
          <w:rFonts w:ascii="Times New Roman" w:cs="Times New Roman" w:eastAsia="Times New Roman" w:hAnsi="Times New Roman"/>
          <w:sz w:val="21"/>
          <w:szCs w:val="21"/>
          <w:color w:val="auto"/>
          <w:vertAlign w:val="superscript"/>
        </w:rPr>
      </w:pPr>
    </w:p>
    <w:p>
      <w:pPr>
        <w:ind w:left="10" w:hanging="10"/>
        <w:spacing w:after="0" w:line="216" w:lineRule="auto"/>
        <w:tabs>
          <w:tab w:leader="none" w:pos="174"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professional fees related to strategic initiatives which are considered non-operational in nature, as well as certain costs incurred related to the Hardware Business transition.</w:t>
      </w:r>
    </w:p>
    <w:p>
      <w:pPr>
        <w:spacing w:after="0" w:line="1" w:lineRule="exact"/>
        <w:rPr>
          <w:rFonts w:ascii="Times New Roman" w:cs="Times New Roman" w:eastAsia="Times New Roman" w:hAnsi="Times New Roman"/>
          <w:sz w:val="21"/>
          <w:szCs w:val="21"/>
          <w:color w:val="auto"/>
          <w:vertAlign w:val="superscript"/>
        </w:rPr>
      </w:pPr>
    </w:p>
    <w:p>
      <w:pPr>
        <w:ind w:left="10" w:right="20" w:hanging="10"/>
        <w:spacing w:after="0" w:line="216" w:lineRule="auto"/>
        <w:tabs>
          <w:tab w:leader="none" w:pos="167"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costs related to a certain litigation matter, net of expected indemnity recoveries from NCR Atleos, as discussed in Note 11, “Commitments and Contingencies”.</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recurring revenue and all other products and services that is recognized at a point in time for the</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Company for the years ended December 31:</w:t>
      </w:r>
    </w:p>
    <w:p>
      <w:pPr>
        <w:spacing w:after="0" w:line="164" w:lineRule="exact"/>
        <w:rPr>
          <w:sz w:val="20"/>
          <w:szCs w:val="20"/>
          <w:color w:val="auto"/>
        </w:rPr>
      </w:pPr>
    </w:p>
    <w:tbl>
      <w:tblPr>
        <w:tblLayout w:type="fixed"/>
        <w:tblInd w:w="70" w:type="dxa"/>
        <w:tblCellMar>
          <w:top w:w="0" w:type="dxa"/>
          <w:left w:w="0" w:type="dxa"/>
          <w:bottom w:w="0" w:type="dxa"/>
          <w:right w:w="0" w:type="dxa"/>
        </w:tblCellMar>
      </w:tblPr>
      <w:tr>
        <w:trPr>
          <w:trHeight w:val="217"/>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83"/>
        </w:trPr>
        <w:tc>
          <w:tcPr>
            <w:tcW w:w="6380" w:type="dxa"/>
            <w:vAlign w:val="bottom"/>
          </w:tcPr>
          <w:p>
            <w:pPr>
              <w:spacing w:after="0" w:line="283" w:lineRule="exact"/>
              <w:rPr>
                <w:sz w:val="20"/>
                <w:szCs w:val="20"/>
                <w:color w:val="auto"/>
              </w:rPr>
            </w:pPr>
            <w:r>
              <w:rPr>
                <w:rFonts w:ascii="Times New Roman" w:cs="Times New Roman" w:eastAsia="Times New Roman" w:hAnsi="Times New Roman"/>
                <w:sz w:val="20"/>
                <w:szCs w:val="20"/>
                <w:color w:val="auto"/>
              </w:rPr>
              <w:t>Recurring revenue</w:t>
            </w:r>
            <w:r>
              <w:rPr>
                <w:rFonts w:ascii="Times New Roman" w:cs="Times New Roman" w:eastAsia="Times New Roman" w:hAnsi="Times New Roman"/>
                <w:sz w:val="26"/>
                <w:szCs w:val="26"/>
                <w:color w:val="auto"/>
                <w:vertAlign w:val="superscript"/>
              </w:rPr>
              <w:t>(1)</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1,676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w:t>
            </w:r>
          </w:p>
        </w:tc>
      </w:tr>
      <w:tr>
        <w:trPr>
          <w:trHeight w:val="26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All other products and services</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1,011</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1,189</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1,554</w:t>
            </w:r>
          </w:p>
        </w:tc>
      </w:tr>
      <w:tr>
        <w:trPr>
          <w:trHeight w:val="245"/>
        </w:trPr>
        <w:tc>
          <w:tcPr>
            <w:tcW w:w="6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2,687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3,166</w:t>
            </w:r>
          </w:p>
        </w:tc>
      </w:tr>
      <w:tr>
        <w:trPr>
          <w:trHeight w:val="20"/>
        </w:trPr>
        <w:tc>
          <w:tcPr>
            <w:tcW w:w="6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-574040</wp:posOffset>
            </wp:positionV>
            <wp:extent cx="6524625" cy="5937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a:extLst>
                        <a:ext uri="{28A0092B-C50C-407E-A947-70E740481C1C}"/>
                      </a:extLst>
                    </a:blip>
                    <a:srcRect/>
                    <a:stretch>
                      <a:fillRect/>
                    </a:stretch>
                  </pic:blipFill>
                  <pic:spPr bwMode="auto">
                    <a:xfrm>
                      <a:off x="0" y="0"/>
                      <a:ext cx="6524625" cy="593725"/>
                    </a:xfrm>
                    <a:prstGeom prst="rect">
                      <a:avLst/>
                    </a:prstGeom>
                    <a:noFill/>
                  </pic:spPr>
                </pic:pic>
              </a:graphicData>
            </a:graphic>
          </wp:anchor>
        </w:drawing>
      </w:r>
    </w:p>
    <w:p>
      <w:pPr>
        <w:jc w:val="both"/>
        <w:ind w:left="270" w:hanging="270"/>
        <w:spacing w:after="0" w:line="233" w:lineRule="auto"/>
        <w:tabs>
          <w:tab w:leader="none" w:pos="225" w:val="left"/>
        </w:tabs>
        <w:numPr>
          <w:ilvl w:val="0"/>
          <w:numId w:val="6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Recurring revenue includes all revenue streams from contracts where there is a predictable revenue pattern that will occur at regular intervals with a relatively high degree of certainty. This includes hardware and software maintenance revenue, SaaS solutions revenue, payment processing revenue, and certain professional services arrangements as well as term-based software license arrangements that include customer termination rights.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270"/>
          </w:cols>
          <w:pgMar w:left="990" w:top="220" w:right="9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Revenue is attributed to the geographic area to which the product is delivered or in which the service is provided. The following table presents revenue by geographic area for the Company for the years ended December 31:</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United States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61 %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65 %</w:t>
            </w:r>
          </w:p>
        </w:tc>
      </w:tr>
      <w:tr>
        <w:trPr>
          <w:trHeight w:val="300"/>
        </w:trPr>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Americas (excluding United States)</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7 %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7 %</w:t>
            </w:r>
          </w:p>
        </w:tc>
      </w:tr>
      <w:tr>
        <w:trPr>
          <w:trHeight w:val="300"/>
        </w:trPr>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Europe, Middle East and Africa</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587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22 %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17 %</w:t>
            </w:r>
          </w:p>
        </w:tc>
      </w:tr>
      <w:tr>
        <w:trPr>
          <w:trHeight w:val="303"/>
        </w:trPr>
        <w:tc>
          <w:tcPr>
            <w:tcW w:w="44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Asia Pacific</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10 %</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11 %</w:t>
            </w:r>
          </w:p>
        </w:tc>
      </w:tr>
      <w:tr>
        <w:trPr>
          <w:trHeight w:val="260"/>
        </w:trPr>
        <w:tc>
          <w:tcPr>
            <w:tcW w:w="4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2,687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100 %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100 %</w:t>
            </w: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-983615</wp:posOffset>
            </wp:positionV>
            <wp:extent cx="6511925" cy="10033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5">
                      <a:extLst>
                        <a:ext uri="{28A0092B-C50C-407E-A947-70E740481C1C}"/>
                      </a:extLst>
                    </a:blip>
                    <a:srcRect/>
                    <a:stretch>
                      <a:fillRect/>
                    </a:stretch>
                  </pic:blipFill>
                  <pic:spPr bwMode="auto">
                    <a:xfrm>
                      <a:off x="0" y="0"/>
                      <a:ext cx="6511925" cy="100330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property, plant and equipment by geographic area as of December 31:</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 net</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141</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r>
      <w:tr>
        <w:trPr>
          <w:trHeight w:val="30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Americas (excluding United States)</w:t>
            </w: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00"/>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Europe, Middle East and Africa</w:t>
            </w: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03"/>
        </w:trPr>
        <w:tc>
          <w:tcPr>
            <w:tcW w:w="6780" w:type="dxa"/>
            <w:vAlign w:val="bottom"/>
          </w:tcPr>
          <w:p>
            <w:pPr>
              <w:spacing w:after="0"/>
              <w:rPr>
                <w:sz w:val="20"/>
                <w:szCs w:val="20"/>
                <w:color w:val="auto"/>
              </w:rPr>
            </w:pPr>
            <w:r>
              <w:rPr>
                <w:rFonts w:ascii="Times New Roman" w:cs="Times New Roman" w:eastAsia="Times New Roman" w:hAnsi="Times New Roman"/>
                <w:sz w:val="20"/>
                <w:szCs w:val="20"/>
                <w:color w:val="auto"/>
              </w:rPr>
              <w:t>Asia Pacific</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60"/>
        </w:trPr>
        <w:tc>
          <w:tcPr>
            <w:tcW w:w="6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Consolidated property, plant and equipment, net</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174</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r>
      <w:tr>
        <w:trPr>
          <w:trHeight w:val="20"/>
        </w:trPr>
        <w:tc>
          <w:tcPr>
            <w:tcW w:w="6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-1174115</wp:posOffset>
            </wp:positionV>
            <wp:extent cx="6543675" cy="1193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6">
                      <a:extLst>
                        <a:ext uri="{28A0092B-C50C-407E-A947-70E740481C1C}"/>
                      </a:extLst>
                    </a:blip>
                    <a:srcRect/>
                    <a:stretch>
                      <a:fillRect/>
                    </a:stretch>
                  </pic:blipFill>
                  <pic:spPr bwMode="auto">
                    <a:xfrm>
                      <a:off x="0" y="0"/>
                      <a:ext cx="6543675" cy="1193800"/>
                    </a:xfrm>
                    <a:prstGeom prst="rect">
                      <a:avLst/>
                    </a:prstGeom>
                    <a:noFill/>
                  </pic:spPr>
                </pic:pic>
              </a:graphicData>
            </a:graphic>
          </wp:anchor>
        </w:drawing>
      </w:r>
    </w:p>
    <w:p>
      <w:pPr>
        <w:spacing w:after="0" w:line="22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Concentrations </w:t>
      </w:r>
      <w:r>
        <w:rPr>
          <w:rFonts w:ascii="Times New Roman" w:cs="Times New Roman" w:eastAsia="Times New Roman" w:hAnsi="Times New Roman"/>
          <w:sz w:val="20"/>
          <w:szCs w:val="20"/>
          <w:color w:val="auto"/>
        </w:rPr>
        <w:t>One customer accounted for approximately 12%, 13% and 16% of our consolidated operating revenues during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years ended December 31, 2025, 2024 and 2023 respectively, and is included in our Retail segment. As of December 31, 2025, 2024 and 2023, the Company is not aware of any other significant concentration of business transacted with a particular customer that could, if suddenly eliminated, have a material adverse effect on the Company’s operations. NCR Voyix does not have a concentration of available sources of labor, services, licenses or other rights that could, if suddenly eliminated, have a material adverse effect on its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DEBT OBLIGATIONS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short-term borrowings and long-term debt: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60"/>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280" w:type="dxa"/>
            <w:vAlign w:val="bottom"/>
          </w:tcPr>
          <w:p>
            <w:pPr>
              <w:spacing w:after="0"/>
              <w:rPr>
                <w:sz w:val="13"/>
                <w:szCs w:val="13"/>
                <w:color w:val="auto"/>
              </w:rPr>
            </w:pPr>
          </w:p>
        </w:tc>
        <w:tc>
          <w:tcPr>
            <w:tcW w:w="1080" w:type="dxa"/>
            <w:vAlign w:val="bottom"/>
            <w:vMerge w:val="restart"/>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Interest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Average Interest</w:t>
            </w:r>
          </w:p>
        </w:tc>
        <w:tc>
          <w:tcPr>
            <w:tcW w:w="0" w:type="dxa"/>
            <w:vAlign w:val="bottom"/>
          </w:tcPr>
          <w:p>
            <w:pPr>
              <w:spacing w:after="0"/>
              <w:rPr>
                <w:sz w:val="1"/>
                <w:szCs w:val="1"/>
                <w:color w:val="auto"/>
              </w:rPr>
            </w:pPr>
          </w:p>
        </w:tc>
      </w:tr>
      <w:tr>
        <w:trPr>
          <w:trHeight w:val="214"/>
        </w:trPr>
        <w:tc>
          <w:tcPr>
            <w:tcW w:w="468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0" w:type="dxa"/>
            <w:vAlign w:val="bottom"/>
          </w:tcPr>
          <w:p>
            <w:pPr>
              <w:spacing w:after="0"/>
              <w:rPr>
                <w:sz w:val="1"/>
                <w:szCs w:val="1"/>
                <w:color w:val="auto"/>
              </w:rPr>
            </w:pPr>
          </w:p>
        </w:tc>
      </w:tr>
      <w:tr>
        <w:trPr>
          <w:trHeight w:val="262"/>
        </w:trPr>
        <w:tc>
          <w:tcPr>
            <w:tcW w:w="4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Borrowings</w:t>
            </w:r>
          </w:p>
        </w:tc>
        <w:tc>
          <w:tcPr>
            <w:tcW w:w="2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68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Current portion of Senior Secured Credit Facility</w:t>
            </w:r>
            <w:r>
              <w:rPr>
                <w:rFonts w:ascii="Times New Roman" w:cs="Times New Roman" w:eastAsia="Times New Roman" w:hAnsi="Times New Roman"/>
                <w:sz w:val="26"/>
                <w:szCs w:val="26"/>
                <w:color w:val="auto"/>
                <w:vertAlign w:val="superscript"/>
              </w:rPr>
              <w:t>(1)</w:t>
            </w:r>
          </w:p>
        </w:tc>
        <w:tc>
          <w:tcPr>
            <w:tcW w:w="28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0" w:type="dxa"/>
            <w:vAlign w:val="bottom"/>
          </w:tcPr>
          <w:p>
            <w:pPr>
              <w:spacing w:after="0"/>
              <w:rPr>
                <w:sz w:val="1"/>
                <w:szCs w:val="1"/>
                <w:color w:val="auto"/>
              </w:rPr>
            </w:pPr>
          </w:p>
        </w:tc>
      </w:tr>
      <w:tr>
        <w:trPr>
          <w:trHeight w:val="265"/>
        </w:trPr>
        <w:tc>
          <w:tcPr>
            <w:tcW w:w="4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Total short-term borrowings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spacing w:after="0"/>
              <w:rPr>
                <w:sz w:val="23"/>
                <w:szCs w:val="2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6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Debt</w:t>
            </w: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Senior Secured Credit Facility:</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Term loan facilities</w:t>
            </w:r>
            <w:r>
              <w:rPr>
                <w:rFonts w:ascii="Times New Roman" w:cs="Times New Roman" w:eastAsia="Times New Roman" w:hAnsi="Times New Roman"/>
                <w:sz w:val="26"/>
                <w:szCs w:val="26"/>
                <w:color w:val="auto"/>
                <w:vertAlign w:val="superscript"/>
              </w:rPr>
              <w:t>(1)</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0" w:type="dxa"/>
            <w:vAlign w:val="bottom"/>
          </w:tcPr>
          <w:p>
            <w:pPr>
              <w:spacing w:after="0"/>
              <w:rPr>
                <w:sz w:val="1"/>
                <w:szCs w:val="1"/>
                <w:color w:val="auto"/>
              </w:rPr>
            </w:pPr>
          </w:p>
        </w:tc>
      </w:tr>
      <w:tr>
        <w:trPr>
          <w:trHeight w:val="289"/>
        </w:trPr>
        <w:tc>
          <w:tcPr>
            <w:tcW w:w="4680" w:type="dxa"/>
            <w:vAlign w:val="bottom"/>
          </w:tcPr>
          <w:p>
            <w:pPr>
              <w:ind w:left="300"/>
              <w:spacing w:after="0" w:line="288" w:lineRule="exact"/>
              <w:rPr>
                <w:sz w:val="20"/>
                <w:szCs w:val="20"/>
                <w:color w:val="auto"/>
              </w:rPr>
            </w:pPr>
            <w:r>
              <w:rPr>
                <w:rFonts w:ascii="Times New Roman" w:cs="Times New Roman" w:eastAsia="Times New Roman" w:hAnsi="Times New Roman"/>
                <w:sz w:val="20"/>
                <w:szCs w:val="20"/>
                <w:color w:val="auto"/>
              </w:rPr>
              <w:t>Revolving credit facility</w:t>
            </w:r>
            <w:r>
              <w:rPr>
                <w:rFonts w:ascii="Times New Roman" w:cs="Times New Roman" w:eastAsia="Times New Roman" w:hAnsi="Times New Roman"/>
                <w:sz w:val="26"/>
                <w:szCs w:val="26"/>
                <w:color w:val="auto"/>
                <w:vertAlign w:val="superscript"/>
              </w:rPr>
              <w:t>(1)</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c>
          <w:tcPr>
            <w:tcW w:w="0" w:type="dxa"/>
            <w:vAlign w:val="bottom"/>
          </w:tcPr>
          <w:p>
            <w:pPr>
              <w:spacing w:after="0"/>
              <w:rPr>
                <w:sz w:val="1"/>
                <w:szCs w:val="1"/>
                <w:color w:val="auto"/>
              </w:rPr>
            </w:pP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Senior Notes: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5.000% Senior Notes due 2028</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650</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5.125% Senior Notes due 2029</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403</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5.250% Senior Notes due 2030</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52</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Deferred financing fees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6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Total long-term debt</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1,100</w:t>
            </w: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1,098</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-2399665</wp:posOffset>
            </wp:positionV>
            <wp:extent cx="6540500" cy="24066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7">
                      <a:extLst>
                        <a:ext uri="{28A0092B-C50C-407E-A947-70E740481C1C}"/>
                      </a:extLst>
                    </a:blip>
                    <a:srcRect/>
                    <a:stretch>
                      <a:fillRect/>
                    </a:stretch>
                  </pic:blipFill>
                  <pic:spPr bwMode="auto">
                    <a:xfrm>
                      <a:off x="0" y="0"/>
                      <a:ext cx="6540500" cy="24066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Interest rates are weighted average interest rates as of December 31, 2025 and 2024.</w:t>
      </w:r>
    </w:p>
    <w:p>
      <w:pPr>
        <w:spacing w:after="0" w:line="18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Senior Secured Credit Facilities </w:t>
      </w:r>
      <w:r>
        <w:rPr>
          <w:rFonts w:ascii="Times New Roman" w:cs="Times New Roman" w:eastAsia="Times New Roman" w:hAnsi="Times New Roman"/>
          <w:sz w:val="20"/>
          <w:szCs w:val="20"/>
          <w:color w:val="auto"/>
        </w:rPr>
        <w:t>On October 16, 2023, the Company entered into a senior secured credit agreement, with certain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subsidiaries of the Company party thereto as foreign borrowers, the lenders party thereto and Bank of America, N.A., as administrative agent (in such capacity, the “Administrative Agent”). This credit agreement provides for senior secured credit</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260"/>
          </w:cols>
          <w:pgMar w:left="1000" w:top="220" w:right="98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facilities in an aggregate principal amount of $700 million, comprised of (i) a five-year multicurrency revolving credit facility in the aggregate principal amount of $500 million (including (a) a letter of credit sub-facility in an aggregate principal amount of up to $75 million and (b) a sub-facility in an aggregate principal amount of up to $200 million for borrowings and letters of credit in certain agreed foreign currencies) (the “Revolving Credit Facility,” and the loans thereunder, the “Revolving Loans”) and (ii) a five-year term loan “A” facility in the aggregate principal amount of $200 million (the “Term Loan A Facility,” and the loans thereunder, the “Term A Loans” and, the Term Loan A Facility, together with the Revolving Credit Facility, the “Senior Secured Credit Facilities”).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On September 30, 2024, using a portion of the proceeds from the Digital Banking Sale, the Company repaid all loans outstanding under the Senior Secured Credit Facilities (but did not reduce the principal amount of the commitments under the Revolving Loans).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Revolving Loans bear interest based on SOFR (or an alternative reference rate for amounts denominated in a currency other than Dollars), or, at the Company’s option, in the case of amounts denominated in Dollars, at a base reference rate equal to the highest of (a) the federal funds rate plus 0.50%, (b) the rate of interest last quoted by the Administrative Agent as its “prime rate” and (c) the one-month SOFR rate plus 1.00% (the “Base Rate”), plus, as applicable, a margin ranging from 2.25% to 3.25% per annum for SOFR-based Revolving Loans and ranging from 1.25% to 2.25% per annum for Base Rate-based Revolving Loans, in each case, depending on the Company’s consolidated leverage ratio. The Revolving Credit Facility is not subject to amortization and will mature on the fifth anniversary of the Closing Date.</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obligations under the Revolving Credit Facility are guaranteed by certain of the Company’s material subsidiaries (the “Guarantors”). The obligations under the Revolving Credit Facility and the above described guarantee are secured by a first priority lien and security interest in certain equity interests owned by the Company and the Guarantors in certain of their respective domestic and foreign subsidiaries, and a first priority lien and security interest in substantially all of the assets of the Company and the Guarantors, subject to certain exclusions.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Revolving Credit Facility contains customary representations and warranties, affirmative covenants, and negative covenants. The negative covenants limit the Company’s and its subsidiaries’ ability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spacing w:after="0" w:line="20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Revolving Credit Facility also contains a financial covenant that does not permit the Company to allow its consolidated leverage ratio to exceed (i) in the case of any fiscal quarter ending on or following September 30, 2024 and prior to September 30, 2025, 4.50 to 1.00 and (ii)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spacing w:after="0" w:line="20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Revolving Credit Facility also includes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spacing w:after="0" w:line="20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Senior Unsecured Notes </w:t>
      </w:r>
      <w:r>
        <w:rPr>
          <w:rFonts w:ascii="Times New Roman" w:cs="Times New Roman" w:eastAsia="Times New Roman" w:hAnsi="Times New Roman"/>
          <w:sz w:val="20"/>
          <w:szCs w:val="20"/>
          <w:color w:val="auto"/>
        </w:rPr>
        <w:t>On August 20, 2020, the Company issued $650 million aggregate principal amount of 5.000% senior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unsecured notes due in 2028 (the “5.000% Notes”) and $450 million aggregate principal amount of 5.250% senior unsecured notes due in 2030 (the “5.250% Notes”). Interest is payable on the 5.000% and 5.250% Notes semi-annually in arrears on April 1 and October 1. The 5.000% and 5.250% Notes were sold at 100% of the principal amount and mature on October 1, 2028 and October 1, 2030, respectively.</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Prior to October 1, 2025, with respect to the 5.250% Notes, the Company could have redeemed some or all of such series of Notes by paying a redemption price equal to 100% of the principal amount of the Notes to be redeemed plus the Applicable Premium, as defined in the indenture governing the applicable series of notes, plus accrued and unpaid interest to, but excluding, the redemption date (subject to the right of holders of record of the Notes on the relevant record date to receive interest due on the relevant interest payment date).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260"/>
          </w:cols>
          <w:pgMar w:left="1000" w:top="220" w:right="9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has the option to redeem the 5.000% Notes, in whole or in part, at any time, at a redemption price of 101.250%, and 100% during the 12-month period commencing on October 1, 2025 and thereafter, plus accrued and unpaid interest to the redemption date.</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 has the option to redeem the 5.250% Notes, in whole or in part, at any time on or after October 1, 2025, at a redemption price of 102.625%, 101.750%, 100.875%, and 100% during the 12-month periods commencing on October 1, 2025, 2026, 2027 and 2028 and thereafter, respectively, plus accrued and unpaid interest to the redemption date.</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On April 6, 2021, the Company issued $1.2 billion aggregate principal amount of 5.125% senior unsecured notes due 2029 (the “5.125% Notes”). Interest is payable on the 5.125% Notes semi-annually in arrears on April 15 and October 15 of each year. The 5.125% Notes will mature on April 15, 2029.</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has the option to redeem the 5.125% Notes, at whole or in part, on or after April 15, 2024, at a redemption price of 102.563%, 101.281% and 100% during the 12-month periods commencing on or after April 15, 2024, 2025 and 2026 and thereafter, respectively, plus accrued and unpaid interest to the redemption date.</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September 30, 2024, a portion of the proceeds from the Digital Banking Sale were used to settle the Company’s previously announced tender offers to purchase up to $1.2 billion aggregate purchase price, excluding accrued and unpaid interest, of the Company’s senior unsecured notes, subject to prioritized acceptance levels and proration. Pursuant to the terms of the tender offers and the final settlement, the Company purchased approximately $398 million aggregate principal amount of the 5.250% Notes and $797 million aggregate principal amount of the 5.125% Notes. The Company recognized a gain on extinguishment of debt of $8 million related to the redemption discount of $18 million on the settlement of the 5.250% Notes and 5.125% Notes offset by the write-off of the related deferred financing fees of $10 million.</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senior unsecured notes are the Company’s senior unsecured obligations and are jointly and severally unconditionally guaranteed on a senior unsecured basis by the Company’s domestic material subsidiaries, subject to certain limitations, that guarantee the Company’s Senior Secured Credit Facilities pursuant to supplemental indentures governing each applicable series of senior unsecured notes. The indentures governing the senior unsecured notes contain customary events of default, including, among other things, payment default, exchange default, failure to provide certain notices thereunder and certain provisions related to bankruptcy events. The indentures governing the senior unsecured notes also contains customary high yield affirmative and negative covenants, including negative covenants that, among other things, limit the Company and its restricted subsidiaries’ ability to incur additional indebtedness, create liens on, sell or otherwise dispose of assets, engage in certain fundamental corporate changes or changes to lines of business activities, make certain investments or material acquisitions, engage in sale-leaseback or hedging transactions, repurchase common stock, pay dividends or make similar distributions on capital stock, repay certain indebtedness, engage in certain affiliate transactions and enter into agreements that restrict their ability to create liens, pay dividends or make loan repayments. If the senior unsecured notes are assigned an “investment grade” rating by Moody’s or S&amp;P and no default has occurred or is continuing, certain covenants will be terminated.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Debt Maturities </w:t>
      </w:r>
      <w:r>
        <w:rPr>
          <w:rFonts w:ascii="Times New Roman" w:cs="Times New Roman" w:eastAsia="Times New Roman" w:hAnsi="Times New Roman"/>
          <w:sz w:val="20"/>
          <w:szCs w:val="20"/>
          <w:color w:val="auto"/>
        </w:rPr>
        <w:t>Maturities of debt outstanding, in principal amounts, at December 31, 2025 are summarized below:</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0"/>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Debt maturities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1,105</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  $</w:t>
            </w:r>
          </w:p>
        </w:tc>
        <w:tc>
          <w:tcPr>
            <w:tcW w:w="98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403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-221615</wp:posOffset>
            </wp:positionV>
            <wp:extent cx="6534150" cy="241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8">
                      <a:extLst>
                        <a:ext uri="{28A0092B-C50C-407E-A947-70E740481C1C}"/>
                      </a:extLst>
                    </a:blip>
                    <a:srcRect/>
                    <a:stretch>
                      <a:fillRect/>
                    </a:stretch>
                  </pic:blipFill>
                  <pic:spPr bwMode="auto">
                    <a:xfrm>
                      <a:off x="0" y="0"/>
                      <a:ext cx="6534150" cy="241300"/>
                    </a:xfrm>
                    <a:prstGeom prst="rect">
                      <a:avLst/>
                    </a:prstGeom>
                    <a:noFill/>
                  </pic:spPr>
                </pic:pic>
              </a:graphicData>
            </a:graphic>
          </wp:anchor>
        </w:drawing>
      </w:r>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Fair Value of Debt </w:t>
      </w:r>
      <w:r>
        <w:rPr>
          <w:rFonts w:ascii="Times New Roman" w:cs="Times New Roman" w:eastAsia="Times New Roman" w:hAnsi="Times New Roman"/>
          <w:sz w:val="20"/>
          <w:szCs w:val="20"/>
          <w:color w:val="auto"/>
        </w:rPr>
        <w:t>The Company utilized Level 2 inputs, as defined in the fair value hierarchy, to measure the fair value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long-term debt, which, as of December 31, 2025 and 2024 was $1.09 billion and $1.06 billion, respectively. Management’s fair value estimates were based on quoted prices for recent trades of the Company’s long-term debt, quoted prices for similar instruments, and inquiries with certain investment communities.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TRADE RECEIVABLES FACILITY</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Prior to September 30, 2024, the Company maintained a trade receivables facility (the “T/R Facility”) pursuant to which a wholly-owned, bankruptcy-remote subsidiary of the Company (the “U.S. SPE”) and a wholly-owned, bankruptcy remote subsidiary of a Canadian affiliate of the Company (the “Canadian SPE,” and together with the U.S. SPE, the “SPEs”) continuously acquired all of the trade receivables originated by the Company and the Canadian affiliate (and certain other affiliates from time to time party to the T/R Facility). The SPEs in turn either sold or pledged those trade receivables to unaffiliated purchasers party to the T/R Facility (the “Purchasers”). On September 1, 2024, the Company voluntarily repaid a</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260"/>
          </w:cols>
          <w:pgMar w:left="1000" w:top="220" w:right="98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portion of the amounts outstanding under the T/R Facility to reduce the commitment of the Purchasers from $300 million to $252 million and to reacquire all outstanding trade receivables related to the Digital Banking business. On September 30, 2024, the Company used a portion of the proceeds from the Digital Banking Sale to voluntarily pay all remaining amounts outstanding under the T/R Facility. In connection with the payment of such amounts, the Company terminated the T/R Facility and reacquired all of the outstanding trade receivables that had previously been sold by it (and by its affiliates then party to the T/R Facility) to the SPEs (including any outstanding trade receivables that had been further sold on to the Purchasers) and these amounts are included in Accounts receivable, net in the Company’s Consolidated Balance Sheets.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As the T/R Facility was terminated as of September 30, 2024, the outstanding balance sold to the Purchasers and derecognized by the U.S. SPE was zero as of December 31, 2025 and December 31, 2024. Prior to the termination of the T/R Facility, the total outstanding balance of trade receivables sold to the Purchasers could be up to $252 million (or prior to September 1, 2024, up to $300 million) at any one time, which represented the maximum purchase commitment from the Purchasers. The actual outstanding balance of trade receivables that were sold varied based on the level of activity and other factors and could be less than the maximum purchase commitment.</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Cash activity related to the termination of the T/R Facility is reflected in Net cash provided by investing activities in the Consolidated Statements of Cash Flows. Prior to the termination of the T/R Facility, continuous cash activity was reflected in Net cash provided by operating activities. The U.S. SPE incurred fees under the T/R Facility, including fees due and payable to the Purchasers. Those fees, which are immaterial, are recorded within Other income (expense), net in the Consolidated Statements of Operations. In addition, each of the SPEs had provided a full recourse guarantee in favor of the Purchasers of the full and timely payment of all trade receivables sold to them by the U.S. SPE. The guarantee was secured by all the trade receivables owned by each of the SPEs that had not been sold to the Purchasers. The reserve recognized for this recourse obligation historically was not material.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INCOME TAXES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income (loss) from continuing operations before income taxes consisted of the following:</w:t>
      </w:r>
    </w:p>
    <w:p>
      <w:pPr>
        <w:sectPr>
          <w:pgSz w:w="12240" w:h="15840" w:orient="portrait"/>
          <w:cols w:equalWidth="0" w:num="1">
            <w:col w:w="10240"/>
          </w:cols>
          <w:pgMar w:left="1000" w:top="220" w:right="1000" w:bottom="0" w:gutter="0" w:footer="0" w:header="0"/>
        </w:sectPr>
      </w:pP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7"/>
        </w:trPr>
        <w:tc>
          <w:tcPr>
            <w:tcW w:w="5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(loss) before income taxes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0"/>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(54)</w:t>
            </w:r>
          </w:p>
        </w:tc>
      </w:tr>
      <w:tr>
        <w:trPr>
          <w:trHeight w:val="303"/>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w:t>
            </w:r>
          </w:p>
        </w:tc>
      </w:tr>
      <w:tr>
        <w:trPr>
          <w:trHeight w:val="260"/>
        </w:trPr>
        <w:tc>
          <w:tcPr>
            <w:tcW w:w="5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income (loss) from continuing operations before income taxes</w:t>
            </w: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r>
      <w:tr>
        <w:trPr>
          <w:trHeight w:val="20"/>
        </w:trPr>
        <w:tc>
          <w:tcPr>
            <w:tcW w:w="5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-793115</wp:posOffset>
            </wp:positionV>
            <wp:extent cx="6524625" cy="812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9">
                      <a:extLst>
                        <a:ext uri="{28A0092B-C50C-407E-A947-70E740481C1C}"/>
                      </a:extLst>
                    </a:blip>
                    <a:srcRect/>
                    <a:stretch>
                      <a:fillRect/>
                    </a:stretch>
                  </pic:blipFill>
                  <pic:spPr bwMode="auto">
                    <a:xfrm>
                      <a:off x="0" y="0"/>
                      <a:ext cx="6524625" cy="8128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years ended December 31, income tax expense (benefit) consisted of the following:</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577"/>
        </w:trPr>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w:t>
            </w:r>
          </w:p>
        </w:tc>
      </w:tr>
      <w:tr>
        <w:trPr>
          <w:trHeight w:val="303"/>
        </w:trPr>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60"/>
        </w:trPr>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66" w:lineRule="exact"/>
        <w:rPr>
          <w:sz w:val="20"/>
          <w:szCs w:val="20"/>
          <w:color w:val="auto"/>
        </w:rPr>
      </w:pPr>
    </w:p>
    <w:p>
      <w:pPr>
        <w:sectPr>
          <w:pgSz w:w="12240" w:h="15840" w:orient="portrait"/>
          <w:cols w:equalWidth="0" w:num="2">
            <w:col w:w="7280" w:space="80"/>
            <w:col w:w="2880"/>
          </w:cols>
          <w:pgMar w:left="1000" w:top="220" w:right="1000" w:bottom="0" w:gutter="0" w:footer="0" w:header="0"/>
          <w:type w:val="continuous"/>
        </w:sectPr>
      </w:pP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tax expense (benefit)</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0"/>
        </w:trPr>
        <w:tc>
          <w:tcPr>
            <w:tcW w:w="58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0"/>
        </w:trPr>
        <w:tc>
          <w:tcPr>
            <w:tcW w:w="58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Federal</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00"/>
        </w:trPr>
        <w:tc>
          <w:tcPr>
            <w:tcW w:w="58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State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00"/>
        </w:trPr>
        <w:tc>
          <w:tcPr>
            <w:tcW w:w="58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0"/>
        </w:trPr>
        <w:tc>
          <w:tcPr>
            <w:tcW w:w="58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Federal</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00"/>
        </w:trPr>
        <w:tc>
          <w:tcPr>
            <w:tcW w:w="58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State</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03"/>
        </w:trPr>
        <w:tc>
          <w:tcPr>
            <w:tcW w:w="58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Foreign</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260"/>
        </w:trPr>
        <w:tc>
          <w:tcPr>
            <w:tcW w:w="5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income tax expense (benefit)</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r>
      <w:tr>
        <w:trPr>
          <w:trHeight w:val="20"/>
        </w:trPr>
        <w:tc>
          <w:tcPr>
            <w:tcW w:w="5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-1936115</wp:posOffset>
            </wp:positionV>
            <wp:extent cx="6524625" cy="1955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0">
                      <a:extLst>
                        <a:ext uri="{28A0092B-C50C-407E-A947-70E740481C1C}"/>
                      </a:extLst>
                    </a:blip>
                    <a:srcRect/>
                    <a:stretch>
                      <a:fillRect/>
                    </a:stretch>
                  </pic:blipFill>
                  <pic:spPr bwMode="auto">
                    <a:xfrm>
                      <a:off x="0" y="0"/>
                      <a:ext cx="6524625" cy="1955800"/>
                    </a:xfrm>
                    <a:prstGeom prst="rect">
                      <a:avLst/>
                    </a:prstGeom>
                    <a:noFill/>
                  </pic:spPr>
                </pic:pic>
              </a:graphicData>
            </a:graphic>
          </wp:anchor>
        </w:drawing>
      </w:r>
    </w:p>
    <w:p>
      <w:pPr>
        <w:sectPr>
          <w:pgSz w:w="12240" w:h="15840" w:orient="portrait"/>
          <w:cols w:equalWidth="0" w:num="1">
            <w:col w:w="10240"/>
          </w:cols>
          <w:pgMar w:left="1000" w:top="220"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240"/>
          </w:cols>
          <w:pgMar w:left="1000" w:top="220" w:right="100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Disclosed below is a summary of income taxes paid by jurisdiction for the year ended December 31, 2025, pursuant to the disclosure requirements of ASU 2023-09:</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77"/>
        </w:trPr>
        <w:tc>
          <w:tcPr>
            <w:tcW w:w="8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taxes paid by jurisdiction</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0"/>
        </w:trPr>
        <w:tc>
          <w:tcPr>
            <w:tcW w:w="882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Federal</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258</w:t>
            </w:r>
          </w:p>
        </w:tc>
      </w:tr>
      <w:tr>
        <w:trPr>
          <w:trHeight w:val="300"/>
        </w:trPr>
        <w:tc>
          <w:tcPr>
            <w:tcW w:w="882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State</w:t>
            </w:r>
          </w:p>
        </w:tc>
        <w:tc>
          <w:tcPr>
            <w:tcW w:w="340" w:type="dxa"/>
            <w:vAlign w:val="bottom"/>
          </w:tcPr>
          <w:p>
            <w:pPr>
              <w:spacing w:after="0"/>
              <w:rPr>
                <w:sz w:val="24"/>
                <w:szCs w:val="24"/>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31</w:t>
            </w:r>
          </w:p>
        </w:tc>
      </w:tr>
      <w:tr>
        <w:trPr>
          <w:trHeight w:val="303"/>
        </w:trPr>
        <w:tc>
          <w:tcPr>
            <w:tcW w:w="882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Foreign</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27</w:t>
            </w:r>
          </w:p>
        </w:tc>
      </w:tr>
      <w:tr>
        <w:trPr>
          <w:trHeight w:val="260"/>
        </w:trPr>
        <w:tc>
          <w:tcPr>
            <w:tcW w:w="8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income taxes paid</w:t>
            </w: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316</w:t>
            </w:r>
          </w:p>
        </w:tc>
      </w:tr>
      <w:tr>
        <w:trPr>
          <w:trHeight w:val="20"/>
        </w:trPr>
        <w:tc>
          <w:tcPr>
            <w:tcW w:w="8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553200" cy="1003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1">
                      <a:extLst>
                        <a:ext uri="{28A0092B-C50C-407E-A947-70E740481C1C}"/>
                      </a:extLst>
                    </a:blip>
                    <a:srcRect/>
                    <a:stretch>
                      <a:fillRect/>
                    </a:stretch>
                  </pic:blipFill>
                  <pic:spPr bwMode="auto">
                    <a:xfrm>
                      <a:off x="0" y="0"/>
                      <a:ext cx="6553200" cy="1003300"/>
                    </a:xfrm>
                    <a:prstGeom prst="rect">
                      <a:avLst/>
                    </a:prstGeom>
                    <a:noFill/>
                  </pic:spPr>
                </pic:pic>
              </a:graphicData>
            </a:graphic>
          </wp:anchor>
        </w:drawing>
      </w:r>
    </w:p>
    <w:p>
      <w:pPr>
        <w:spacing w:after="0" w:line="22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In 2025, there were no jurisdictions other than U.S. federal with income taxes paid that equaled or exceeded 5% of total income taxes paid.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260"/>
          </w:cols>
          <w:pgMar w:left="1000" w:top="220" w:right="98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represents the principal components of the difference between the effective tax rate and the U.S. federal statutory income tax rate for the year ended December 31, 2025, pursuant to the disclosure requirements of ASU 2023-09:</w:t>
      </w:r>
    </w:p>
    <w:p>
      <w:pPr>
        <w:spacing w:after="0" w:line="7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40" w:type="dxa"/>
            <w:vAlign w:val="bottom"/>
            <w:tcBorders>
              <w:bottom w:val="single" w:sz="8" w:color="auto"/>
            </w:tcBorders>
          </w:tcPr>
          <w:p>
            <w:pPr>
              <w:spacing w:after="0"/>
              <w:rPr>
                <w:sz w:val="18"/>
                <w:szCs w:val="18"/>
                <w:color w:val="auto"/>
              </w:rPr>
            </w:pPr>
          </w:p>
        </w:tc>
      </w:tr>
      <w:tr>
        <w:trPr>
          <w:trHeight w:val="280"/>
        </w:trPr>
        <w:tc>
          <w:tcPr>
            <w:tcW w:w="7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114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Percent</w:t>
            </w:r>
          </w:p>
        </w:tc>
      </w:tr>
      <w:tr>
        <w:trPr>
          <w:trHeight w:val="277"/>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 tax expense/(benefit) at the U.S. federal tax rate of 21%</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21.0 %</w:t>
            </w:r>
          </w:p>
        </w:tc>
      </w:tr>
      <w:tr>
        <w:trPr>
          <w:trHeight w:val="336"/>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State and local income taxes, net of federal income tax effect</w:t>
            </w:r>
            <w:r>
              <w:rPr>
                <w:rFonts w:ascii="Times New Roman" w:cs="Times New Roman" w:eastAsia="Times New Roman" w:hAnsi="Times New Roman"/>
                <w:sz w:val="26"/>
                <w:szCs w:val="26"/>
                <w:b w:val="1"/>
                <w:bCs w:val="1"/>
                <w:color w:val="auto"/>
                <w:vertAlign w:val="superscript"/>
              </w:rPr>
              <w:t>(1)(2)</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12.9 %</w:t>
            </w:r>
          </w:p>
        </w:tc>
      </w:tr>
      <w:tr>
        <w:trPr>
          <w:trHeight w:val="264"/>
        </w:trPr>
        <w:tc>
          <w:tcPr>
            <w:tcW w:w="73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Foreign tax effects</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00"/>
        </w:trPr>
        <w:tc>
          <w:tcPr>
            <w:tcW w:w="73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Australia</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0"/>
        </w:trPr>
        <w:tc>
          <w:tcPr>
            <w:tcW w:w="73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Statutory income tax rate differential</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22.6 %</w:t>
            </w:r>
          </w:p>
        </w:tc>
      </w:tr>
      <w:tr>
        <w:trPr>
          <w:trHeight w:val="300"/>
        </w:trPr>
        <w:tc>
          <w:tcPr>
            <w:tcW w:w="73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Gain/(loss) from restructuring</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(80.6)%</w:t>
            </w:r>
          </w:p>
        </w:tc>
      </w:tr>
      <w:tr>
        <w:trPr>
          <w:trHeight w:val="300"/>
        </w:trPr>
        <w:tc>
          <w:tcPr>
            <w:tcW w:w="73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(6.5)%</w:t>
            </w:r>
          </w:p>
        </w:tc>
      </w:tr>
      <w:tr>
        <w:trPr>
          <w:trHeight w:val="300"/>
        </w:trPr>
        <w:tc>
          <w:tcPr>
            <w:tcW w:w="73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Austria</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0"/>
        </w:trPr>
        <w:tc>
          <w:tcPr>
            <w:tcW w:w="73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Gain/(loss) on disposition</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16.1 %</w:t>
            </w:r>
          </w:p>
        </w:tc>
      </w:tr>
      <w:tr>
        <w:trPr>
          <w:trHeight w:val="260"/>
        </w:trPr>
        <w:tc>
          <w:tcPr>
            <w:tcW w:w="73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Cyprus</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300"/>
        </w:trPr>
        <w:tc>
          <w:tcPr>
            <w:tcW w:w="73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Statutory income tax rate differential</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16.1 %</w:t>
            </w:r>
          </w:p>
        </w:tc>
      </w:tr>
      <w:tr>
        <w:trPr>
          <w:trHeight w:val="300"/>
        </w:trPr>
        <w:tc>
          <w:tcPr>
            <w:tcW w:w="73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(16.1)%</w:t>
            </w:r>
          </w:p>
        </w:tc>
      </w:tr>
      <w:tr>
        <w:trPr>
          <w:trHeight w:val="300"/>
        </w:trPr>
        <w:tc>
          <w:tcPr>
            <w:tcW w:w="73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Gain/(loss) from restructuring</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35.5 %</w:t>
            </w:r>
          </w:p>
        </w:tc>
      </w:tr>
      <w:tr>
        <w:trPr>
          <w:trHeight w:val="300"/>
        </w:trPr>
        <w:tc>
          <w:tcPr>
            <w:tcW w:w="73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3.2 %</w:t>
            </w:r>
          </w:p>
        </w:tc>
      </w:tr>
      <w:tr>
        <w:trPr>
          <w:trHeight w:val="300"/>
        </w:trPr>
        <w:tc>
          <w:tcPr>
            <w:tcW w:w="73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Israel</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73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Changes in valuation allowances</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(35.5)%</w:t>
            </w:r>
          </w:p>
        </w:tc>
      </w:tr>
      <w:tr>
        <w:trPr>
          <w:trHeight w:val="264"/>
        </w:trPr>
        <w:tc>
          <w:tcPr>
            <w:tcW w:w="734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(19.4)%</w:t>
            </w:r>
          </w:p>
        </w:tc>
      </w:tr>
      <w:tr>
        <w:trPr>
          <w:trHeight w:val="300"/>
        </w:trPr>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(28.0)%</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 of cross-border tax laws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0"/>
        </w:trPr>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Net CFC Tested Income (NCTI)</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(80.6)%</w:t>
            </w:r>
          </w:p>
        </w:tc>
      </w:tr>
      <w:tr>
        <w:trPr>
          <w:trHeight w:val="300"/>
        </w:trPr>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Income/(loss) from foreign branches, disregarded entities, and partnerships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100.0 %</w:t>
            </w:r>
          </w:p>
        </w:tc>
      </w:tr>
      <w:tr>
        <w:trPr>
          <w:trHeight w:val="300"/>
        </w:trPr>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Deferred tax liability on unremitted earnings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(22.6)%</w:t>
            </w:r>
          </w:p>
        </w:tc>
      </w:tr>
      <w:tr>
        <w:trPr>
          <w:trHeight w:val="300"/>
        </w:trPr>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9.7 %</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Tax credits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Research &amp; Development (R&amp;D) tax credits</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22.6 %</w:t>
            </w:r>
          </w:p>
        </w:tc>
      </w:tr>
      <w:tr>
        <w:trPr>
          <w:trHeight w:val="264"/>
        </w:trPr>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19.4 %</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Changes in valuation allowances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35.5 %</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Nontaxable or nondeductible items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0"/>
        </w:trPr>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Share-based payment awards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(16.1)%</w:t>
            </w:r>
          </w:p>
        </w:tc>
      </w:tr>
      <w:tr>
        <w:trPr>
          <w:trHeight w:val="300"/>
        </w:trPr>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Gain/(loss) from restructuring</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212.9 %</w:t>
            </w:r>
          </w:p>
        </w:tc>
      </w:tr>
      <w:tr>
        <w:trPr>
          <w:trHeight w:val="300"/>
        </w:trPr>
        <w:tc>
          <w:tcPr>
            <w:tcW w:w="73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(6.5)%</w:t>
            </w:r>
          </w:p>
        </w:tc>
      </w:tr>
      <w:tr>
        <w:trPr>
          <w:trHeight w:val="303"/>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Changes in unrecognized tax benefits</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19.4 %</w:t>
            </w:r>
          </w:p>
        </w:tc>
      </w:tr>
      <w:tr>
        <w:trPr>
          <w:trHeight w:val="260"/>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Effective income tax rate</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(73)</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235.0 %</w:t>
            </w: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-6508115</wp:posOffset>
            </wp:positionV>
            <wp:extent cx="6553200" cy="6527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extLst>
                    </a:blip>
                    <a:srcRect/>
                    <a:stretch>
                      <a:fillRect/>
                    </a:stretch>
                  </pic:blipFill>
                  <pic:spPr bwMode="auto">
                    <a:xfrm>
                      <a:off x="0" y="0"/>
                      <a:ext cx="6553200" cy="6527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State taxes attributable to California and New York State represented the majority (greater than 50%) of the tax effect within this category for 2025.</w:t>
      </w:r>
    </w:p>
    <w:p>
      <w:pPr>
        <w:spacing w:after="0"/>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Indicates reconciling items that include changes in tax estimates for prior periods.</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Company’s tax provisions include a provision for income taxes in certain tax jurisdictions where its subsidiaries are profitable, but reflect only a portion of the tax benefits related to certain foreign subsidiaries’ tax losses due to the uncertainty of the ultimate realization of future benefits from these losses. During 2025, our tax rate was impacted by a $66 million benefit in the U.S. due to entity restructuring activities.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260"/>
          </w:cols>
          <w:pgMar w:left="1000" w:top="220" w:right="98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principal components of the difference between the effective tax rate and the U.S. federal statutory income tax rate prior to the adoption of ASU 2023-09 for the years ended December 31:</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 expense at the U.S. federal tax rate of 21%</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Foreign income tax differential</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Additional U.S. tax on foreign income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 effect)</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Other U.S. permanent book/tax differences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Meals and entertainment expense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Cash surrender value received as income</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transaction costs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executive compensation</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Dispositions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Spin-off of NCR Atleos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Gains/losses on internal entity restructuring</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Excess (benefit)/deficit from share-based payments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Foreign tax law changes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00"/>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Change in liability for unrecognized tax benefits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1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Change in tax estimates for prior periods</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18"/>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75"/>
        </w:trPr>
        <w:tc>
          <w:tcPr>
            <w:tcW w:w="732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 (benefit) expense</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r>
      <w:tr>
        <w:trPr>
          <w:trHeight w:val="20"/>
        </w:trPr>
        <w:tc>
          <w:tcPr>
            <w:tcW w:w="7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-3869690</wp:posOffset>
            </wp:positionV>
            <wp:extent cx="6543675" cy="3889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3">
                      <a:extLst>
                        <a:ext uri="{28A0092B-C50C-407E-A947-70E740481C1C}"/>
                      </a:extLst>
                    </a:blip>
                    <a:srcRect/>
                    <a:stretch>
                      <a:fillRect/>
                    </a:stretch>
                  </pic:blipFill>
                  <pic:spPr bwMode="auto">
                    <a:xfrm>
                      <a:off x="0" y="0"/>
                      <a:ext cx="6543675" cy="3889375"/>
                    </a:xfrm>
                    <a:prstGeom prst="rect">
                      <a:avLst/>
                    </a:prstGeom>
                    <a:noFill/>
                  </pic:spPr>
                </pic:pic>
              </a:graphicData>
            </a:graphic>
          </wp:anchor>
        </w:drawing>
      </w:r>
    </w:p>
    <w:p>
      <w:pPr>
        <w:spacing w:after="0" w:line="2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During 2024, our tax rate was impacted by a $57 million expense from recording a valuation allowance against deferred tax assets. During 2023, our tax rate was impacted by a net $226 million expense related to the Spin-Off of NCR Atleos. Also during 2023, our tax rate was impacted by a $31 million expense from recording a valuation allowance against deferred tax assets and a $17 million expense from nondeductible executive compensation.</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As described in Note 1, “Basis of Presentation and Significant Accounting Policies”, on October 16, 2023, in connection with the Spin-Off, the Company completed a series of legal entity restructurings including both an internal and external spin-off transaction. These transactions are subject to tax laws in the U.S. and non-U.S. jurisdictions, which resulted in the use of significant judgments by management as it pertains to the interpretation and application of tax laws in the U.S. and non-U.S. jurisdictions to determine the potential taxability of the transactions.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did not provide additional U.S. income tax or foreign withholding taxes, if any, on undistributed earnings of certain foreign subsidiaries given the intention continues to be that those earnings are reinvested indefinitely. The amount of unrecognized deferred tax liability associated with these indefinitely reinvested earnings is approximately $27 million. The unrecognized deferred tax liability is made up of a combination of U.S. and state income taxes and foreign withholding taxes.</w:t>
      </w:r>
    </w:p>
    <w:p>
      <w:pPr>
        <w:spacing w:after="0" w:line="16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regularly review our deferred tax assets for recoverability and establish a valuation allowance if it is more likely than not that some portion or all of the deferred tax asset will not be realized. The determination as to whether a deferred tax asset will be realized is made on a jurisdictional basis and is based on the evaluation of positive and negative evidence. This evidence includes historical taxable income/loss, projected future taxable income, the expected timing of the reversal of existing temporary differences and the implementation of tax planning strategies.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260"/>
          </w:cols>
          <w:pgMar w:left="1000" w:top="220" w:right="98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Deferred income tax assets and liabilities included in the Consolidated Balance Sheets as of December 31 were as follows: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income tax assets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Employee pensions and other benefits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Other balance sheet reserves and allowances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104</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Tax loss and credit carryforwards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155</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78</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liabilities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Capitalized software</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50</w:t>
            </w: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Partnership deferred</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16</w:t>
            </w:r>
          </w:p>
        </w:tc>
      </w:tr>
      <w:tr>
        <w:trPr>
          <w:trHeight w:val="277"/>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deferred income tax assets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473</w:t>
            </w:r>
          </w:p>
        </w:tc>
      </w:tr>
      <w:tr>
        <w:trPr>
          <w:trHeight w:val="303"/>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80"/>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deferred income tax assets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320</w:t>
            </w:r>
          </w:p>
        </w:tc>
      </w:tr>
      <w:tr>
        <w:trPr>
          <w:trHeight w:val="277"/>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income tax liabilities</w:t>
            </w: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300"/>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Intangibles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82</w:t>
            </w:r>
          </w:p>
        </w:tc>
      </w:tr>
      <w:tr>
        <w:trPr>
          <w:trHeight w:val="303"/>
        </w:trPr>
        <w:tc>
          <w:tcPr>
            <w:tcW w:w="7340" w:type="dxa"/>
            <w:vAlign w:val="bottom"/>
          </w:tcPr>
          <w:p>
            <w:pPr>
              <w:spacing w:after="0"/>
              <w:rPr>
                <w:sz w:val="20"/>
                <w:szCs w:val="20"/>
                <w:color w:val="auto"/>
              </w:rPr>
            </w:pPr>
            <w:r>
              <w:rPr>
                <w:rFonts w:ascii="Times New Roman" w:cs="Times New Roman" w:eastAsia="Times New Roman" w:hAnsi="Times New Roman"/>
                <w:sz w:val="20"/>
                <w:szCs w:val="20"/>
                <w:color w:val="auto"/>
              </w:rPr>
              <w:t>Right of use assets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57</w:t>
            </w:r>
          </w:p>
        </w:tc>
      </w:tr>
      <w:tr>
        <w:trPr>
          <w:trHeight w:val="280"/>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deferred income tax liabilities</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139</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139</w:t>
            </w:r>
          </w:p>
        </w:tc>
      </w:tr>
      <w:tr>
        <w:trPr>
          <w:trHeight w:val="260"/>
        </w:trPr>
        <w:tc>
          <w:tcPr>
            <w:tcW w:w="7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net deferred income tax assets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181</w:t>
            </w:r>
          </w:p>
        </w:tc>
      </w:tr>
      <w:tr>
        <w:trPr>
          <w:trHeight w:val="20"/>
        </w:trPr>
        <w:tc>
          <w:tcPr>
            <w:tcW w:w="7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-3460115</wp:posOffset>
            </wp:positionV>
            <wp:extent cx="6553200" cy="3479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4">
                      <a:extLst>
                        <a:ext uri="{28A0092B-C50C-407E-A947-70E740481C1C}"/>
                      </a:extLst>
                    </a:blip>
                    <a:srcRect/>
                    <a:stretch>
                      <a:fillRect/>
                    </a:stretch>
                  </pic:blipFill>
                  <pic:spPr bwMode="auto">
                    <a:xfrm>
                      <a:off x="0" y="0"/>
                      <a:ext cx="6553200" cy="3479800"/>
                    </a:xfrm>
                    <a:prstGeom prst="rect">
                      <a:avLst/>
                    </a:prstGeom>
                    <a:noFill/>
                  </pic:spPr>
                </pic:pic>
              </a:graphicData>
            </a:graphic>
          </wp:anchor>
        </w:drawing>
      </w:r>
    </w:p>
    <w:p>
      <w:pPr>
        <w:spacing w:after="0" w:line="22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The Company has previously recorded valuation allowances related to certain deferred tax assets due to the uncertainty of the ultimate realization of the future benefits from those assets. The recorded valuation allowances cover deferred tax assets, including tax loss carryforwards, interest expense carryforwards and foreign tax credits in tax jurisdictions where there is uncertainty as to the ultimate realization of those tax assets. If we are unable to generate sufficient future taxable income of the proper source in the time period within which the temporary differences underlying our deferred tax assets become deductible, or before the expiration of our loss and credit carryforwards, additional valuation allowances could be required.</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2025, the Company had U.S. federal, U.S. state (tax effected), and foreign tax attribute carryforwards of approximately $673 million. The net operating loss carryforwards that are subject to expiration will expire in the years 2026 through 2045. The attributes include U.S. tax credit carryforwards of $33 million, which expire in the years 2028 through 2034.</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Company’s current tax liability was $13 million and $336 million as of December 31, 2025 and December 31, 2024, respectively, presented within Other current liabilities on the Consolidated Balance Sheets. The decrease in the current tax liability is primarily due to the payment of $284 million of taxes related to the Digital Banking Sale.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aggregate changes in the balance of our gross unrecognized tax benefits were as follows for the years ended December 31:</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Gross unrecognized tax benefits - January 1</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30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Increases related to tax positions from prior years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0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Decreases related to tax positions from prior years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0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Increases related to tax provisions taken during the current year</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0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Settlements with tax authorities</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Lapses of statutes of limitation</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03"/>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Distributions to NCR Atleos</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60"/>
        </w:trPr>
        <w:tc>
          <w:tcPr>
            <w:tcW w:w="6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gross unrecognized tax benefits - December 31</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0"/>
        </w:trPr>
        <w:tc>
          <w:tcPr>
            <w:tcW w:w="6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-1555115</wp:posOffset>
            </wp:positionV>
            <wp:extent cx="6534150" cy="1574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5">
                      <a:extLst>
                        <a:ext uri="{28A0092B-C50C-407E-A947-70E740481C1C}"/>
                      </a:extLst>
                    </a:blip>
                    <a:srcRect/>
                    <a:stretch>
                      <a:fillRect/>
                    </a:stretch>
                  </pic:blipFill>
                  <pic:spPr bwMode="auto">
                    <a:xfrm>
                      <a:off x="0" y="0"/>
                      <a:ext cx="6534150" cy="15748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260"/>
          </w:cols>
          <w:pgMar w:left="1000" w:top="220" w:right="9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Of the total amount of gross unrecognized tax benefits as of December 31, 2025, $38 million would affect the Company’s effective tax rate if realized. The Company’s liability arising from uncertain tax positions is recorded in Income tax accruals and Other current liabilities in the Consolidated Balance Sheets.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We recognized interest and penalties associated with uncertain tax positions as part of the provision for income taxes in our Consolidated Statements of Operations of $2 million of benefit, zero, and $4 million of expense for the years ended December 31, 2025, 2024, and 2023, respectively. The gross amount of interest and penalties accrued as of December 31, 2025 and 2024 was $16 million in each year, respectively.</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In the United States, the Company files consolidated federal and state income tax returns, with statutes of limitations generally ranging from three to five years. U.S. federal tax years remain open from 2022 forward. During 2025, the Egyptian Tax Authority concluded an examination of the 2010-2013 tax years, resulting in an assessment of $1 million. The Company released a total of $2 million in tax reserves as a result of the settlement. Years beginning on or after 2014 are still open to examination by certain foreign taxing authorities.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STOCK COMPENSATION PLANS</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disclosed in Note 1, “Basis of Presentation and Significant Accounting Policies”, outstanding restricted stock units and stock options were adjusted to maintain the economic value of those awards before and after the Spin-Off. Generally, continuing NCR Voyix employees retained the number of outstanding restricted stock units held by them as of the Spin-Off and received additional NCR Voyix restricted stock units to reflect the Spin-Off, while continuing NCR Atleos employees had their outstanding restricted stock units held by them as of the Spin-Off converted solely into equivalent restricted stock units of NCR Atleos, and any outstanding restricted stock units held by them as of the Spin-Off were cancelled. Outstanding stock options at the time of the Spin-Off, regardless of the holder, were converted into stock options of both NCR Voyix and NCR Atleos. In addition, outstanding restricted stock units held by certain key equity holders as of the Spin-Off (including directors and certain former employees) were converted into restricted stock units of both NCR Voyix and NCR Atleos. The share information included below has been adjusted for the Spin-Off. The modification of the Company’s awards did not result in material stock-based compensation cost during the year ended December 31, 2023.</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Company recognizes all share-based payments as compensation expense in its financial statements based on their fair value. As of December 31, 2025, the Company’s stock-based compensation consisted of restricted stock units, employee stock purchase plan and stock options. The Company recorded stock-based compensation expense in income (loss) from continuing operations for the years ended December 31 as follows:</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300"/>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03"/>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Employee stock purchase plan</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77"/>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303"/>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Tax expense (benefit)</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60"/>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auto"/>
              </w:rPr>
              <w:t>Total stock-based compensation (net of tax)</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0"/>
        </w:trPr>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-1174115</wp:posOffset>
            </wp:positionV>
            <wp:extent cx="6524625" cy="1193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6">
                      <a:extLst>
                        <a:ext uri="{28A0092B-C50C-407E-A947-70E740481C1C}"/>
                      </a:extLst>
                    </a:blip>
                    <a:srcRect/>
                    <a:stretch>
                      <a:fillRect/>
                    </a:stretch>
                  </pic:blipFill>
                  <pic:spPr bwMode="auto">
                    <a:xfrm>
                      <a:off x="0" y="0"/>
                      <a:ext cx="6524625" cy="1193800"/>
                    </a:xfrm>
                    <a:prstGeom prst="rect">
                      <a:avLst/>
                    </a:prstGeom>
                    <a:noFill/>
                  </pic:spPr>
                </pic:pic>
              </a:graphicData>
            </a:graphic>
          </wp:anchor>
        </w:drawing>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Approximately 34 million shares (i) remain available for future issuance and (ii) are issuable upon the exercise or settlement of outstanding awards under the 2017 Stock Incentive Plan (“SIP”). Details of the Company’s stock-based compensation plans are discussed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SIP provides for the grant of several different forms of stock-based compensation, including restricted stock units. Restricted stock units can have service-based and/or performance-based vesting with performance goals being established by the Compensation and Human Resource Committee of the Company’s Board of Directors. Any grant of restricted stock units is generally subject to a vesting period of 12 months to 48 months, to the extent permitted by the SIP. Performance-based grants conditionally vest upon achievement of future performance goals based on performance criteria such as the Company’s achievement of specific return on capital and/or other financial metrics (as defined in the SIP) during the performance period. Performance-based grants must be earned, based on performance, before the actual number of shares to be awarded is known. The Compensation and Human Resource Committee considers the likelihood of meeting the performance criteria based upon</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260"/>
          </w:cols>
          <w:pgMar w:left="1000" w:top="220" w:right="980" w:bottom="0" w:gutter="0" w:footer="0" w:header="0"/>
          <w:type w:val="continuous"/>
        </w:sectPr>
      </w:pPr>
    </w:p>
    <w:bookmarkStart w:id="93" w:name="page94"/>
    <w:bookmarkEnd w:id="93"/>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estimates and other relevant data, and certifies performance based on its analysis of achievement against the performance criteria. A recipient of restricted stock units does not have the rights of a stockholder and is subject to restrictions on transferability and risk of forfeiture. Other terms and conditions applicable to any award of restricted stock units will be determined by the Compensation and Human Resource Committee and set forth in the agreement relating to that award.</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reports restricted stock unit activity during the year ended December 31, 2025:</w:t>
      </w:r>
    </w:p>
    <w:p>
      <w:pPr>
        <w:spacing w:after="0" w:line="173" w:lineRule="exact"/>
        <w:rPr>
          <w:sz w:val="20"/>
          <w:szCs w:val="20"/>
          <w:color w:val="auto"/>
        </w:rPr>
      </w:pPr>
    </w:p>
    <w:tbl>
      <w:tblPr>
        <w:tblLayout w:type="fixed"/>
        <w:tblInd w:w="70" w:type="dxa"/>
        <w:tblCellMar>
          <w:top w:w="0" w:type="dxa"/>
          <w:left w:w="0" w:type="dxa"/>
          <w:bottom w:w="0" w:type="dxa"/>
          <w:right w:w="0" w:type="dxa"/>
        </w:tblCellMar>
      </w:tblPr>
      <w:tr>
        <w:trPr>
          <w:trHeight w:val="184"/>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2200" w:type="dxa"/>
            <w:vAlign w:val="bottom"/>
            <w:vMerge w:val="restart"/>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80" w:type="dxa"/>
            <w:vAlign w:val="bottom"/>
          </w:tcPr>
          <w:p>
            <w:pPr>
              <w:spacing w:after="0"/>
              <w:rPr>
                <w:sz w:val="16"/>
                <w:szCs w:val="16"/>
                <w:color w:val="auto"/>
              </w:rPr>
            </w:pP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Weighted Average Grant-Date</w:t>
            </w:r>
          </w:p>
        </w:tc>
        <w:tc>
          <w:tcPr>
            <w:tcW w:w="0" w:type="dxa"/>
            <w:vAlign w:val="bottom"/>
          </w:tcPr>
          <w:p>
            <w:pPr>
              <w:spacing w:after="0"/>
              <w:rPr>
                <w:sz w:val="1"/>
                <w:szCs w:val="1"/>
                <w:color w:val="auto"/>
              </w:rPr>
            </w:pPr>
          </w:p>
        </w:tc>
      </w:tr>
      <w:tr>
        <w:trPr>
          <w:trHeight w:val="214"/>
        </w:trPr>
        <w:tc>
          <w:tcPr>
            <w:tcW w:w="5700" w:type="dxa"/>
            <w:vAlign w:val="bottom"/>
            <w:vMerge w:val="continue"/>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Fair Value per Unit</w:t>
            </w:r>
          </w:p>
        </w:tc>
        <w:tc>
          <w:tcPr>
            <w:tcW w:w="0" w:type="dxa"/>
            <w:vAlign w:val="bottom"/>
          </w:tcPr>
          <w:p>
            <w:pPr>
              <w:spacing w:after="0"/>
              <w:rPr>
                <w:sz w:val="1"/>
                <w:szCs w:val="1"/>
                <w:color w:val="auto"/>
              </w:rPr>
            </w:pPr>
          </w:p>
        </w:tc>
      </w:tr>
      <w:tr>
        <w:trPr>
          <w:trHeight w:val="277"/>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Unvested shares as of January 1</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8,065</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16.31</w:t>
            </w:r>
          </w:p>
        </w:tc>
        <w:tc>
          <w:tcPr>
            <w:tcW w:w="0" w:type="dxa"/>
            <w:vAlign w:val="bottom"/>
          </w:tcPr>
          <w:p>
            <w:pPr>
              <w:spacing w:after="0"/>
              <w:rPr>
                <w:sz w:val="1"/>
                <w:szCs w:val="1"/>
                <w:color w:val="auto"/>
              </w:rPr>
            </w:pPr>
          </w:p>
        </w:tc>
      </w:tr>
      <w:tr>
        <w:trPr>
          <w:trHeight w:val="30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Shares granted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4,003</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0" w:type="dxa"/>
            <w:vAlign w:val="bottom"/>
          </w:tcPr>
          <w:p>
            <w:pPr>
              <w:spacing w:after="0"/>
              <w:rPr>
                <w:sz w:val="1"/>
                <w:szCs w:val="1"/>
                <w:color w:val="auto"/>
              </w:rPr>
            </w:pPr>
          </w:p>
        </w:tc>
      </w:tr>
      <w:tr>
        <w:trPr>
          <w:trHeight w:val="34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Shares granted adjustments</w:t>
            </w:r>
            <w:r>
              <w:rPr>
                <w:rFonts w:ascii="Times New Roman" w:cs="Times New Roman" w:eastAsia="Times New Roman" w:hAnsi="Times New Roman"/>
                <w:sz w:val="26"/>
                <w:szCs w:val="26"/>
                <w:color w:val="auto"/>
                <w:vertAlign w:val="superscript"/>
              </w:rPr>
              <w:t>(1)</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Shares vested</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17.10</w:t>
            </w:r>
          </w:p>
        </w:tc>
        <w:tc>
          <w:tcPr>
            <w:tcW w:w="0" w:type="dxa"/>
            <w:vAlign w:val="bottom"/>
          </w:tcPr>
          <w:p>
            <w:pPr>
              <w:spacing w:after="0"/>
              <w:rPr>
                <w:sz w:val="1"/>
                <w:szCs w:val="1"/>
                <w:color w:val="auto"/>
              </w:rPr>
            </w:pPr>
          </w:p>
        </w:tc>
      </w:tr>
      <w:tr>
        <w:trPr>
          <w:trHeight w:val="303"/>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Shares forfeited</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(1,773)</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0" w:type="dxa"/>
            <w:vAlign w:val="bottom"/>
          </w:tcPr>
          <w:p>
            <w:pPr>
              <w:spacing w:after="0"/>
              <w:rPr>
                <w:sz w:val="1"/>
                <w:szCs w:val="1"/>
                <w:color w:val="auto"/>
              </w:rPr>
            </w:pPr>
          </w:p>
        </w:tc>
      </w:tr>
      <w:tr>
        <w:trPr>
          <w:trHeight w:val="26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Unvested shares as of December 31</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6,664</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-1174115</wp:posOffset>
            </wp:positionV>
            <wp:extent cx="6530975" cy="1193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7">
                      <a:extLst>
                        <a:ext uri="{28A0092B-C50C-407E-A947-70E740481C1C}"/>
                      </a:extLst>
                    </a:blip>
                    <a:srcRect/>
                    <a:stretch>
                      <a:fillRect/>
                    </a:stretch>
                  </pic:blipFill>
                  <pic:spPr bwMode="auto">
                    <a:xfrm>
                      <a:off x="0" y="0"/>
                      <a:ext cx="6530975" cy="1193800"/>
                    </a:xfrm>
                    <a:prstGeom prst="rect">
                      <a:avLst/>
                    </a:prstGeom>
                    <a:noFill/>
                  </pic:spPr>
                </pic:pic>
              </a:graphicData>
            </a:graphic>
          </wp:anchor>
        </w:drawing>
      </w:r>
    </w:p>
    <w:p>
      <w:pPr>
        <w:spacing w:after="0" w:line="100" w:lineRule="exact"/>
        <w:rPr>
          <w:sz w:val="20"/>
          <w:szCs w:val="20"/>
          <w:color w:val="auto"/>
        </w:rPr>
      </w:pPr>
    </w:p>
    <w:p>
      <w:pPr>
        <w:ind w:left="10" w:right="260" w:hanging="10"/>
        <w:spacing w:after="0" w:line="238" w:lineRule="auto"/>
        <w:tabs>
          <w:tab w:leader="none" w:pos="157"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grant adjustments for RSUs granted in prior periods with performance-based vesting criteria to reflect the actual number of shares issued upon final achievement of the performance vesting criteria.</w:t>
      </w:r>
    </w:p>
    <w:p>
      <w:pPr>
        <w:spacing w:after="0" w:line="213"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color w:val="auto"/>
        </w:rPr>
        <w:t>Stock-based compensation expense is recognized in the financial statements based upon fair value. The total fair value of units vested and distributed in the form of the Company’s common stock was $49 million in 2025, $61 million in 2024, and $132 million in 2023. As of December 31, 2025, there was $47 million of unrecognized compensation cost related to unvested restricted stock unit grants. The unrecognized compensation cost is expected to be recognized over a remaining weighted-average period of 1.9 years under the endpoint method. The weighted average grant date fair value for restricted stock unit awards granted in 2024 and 2023 was $12.97 and $16.25, respectively.</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represents the composition of restricted stock unit grants in 2025:</w:t>
      </w:r>
    </w:p>
    <w:p>
      <w:pPr>
        <w:spacing w:after="0" w:line="183" w:lineRule="exact"/>
        <w:rPr>
          <w:sz w:val="20"/>
          <w:szCs w:val="20"/>
          <w:color w:val="auto"/>
        </w:rPr>
      </w:pPr>
    </w:p>
    <w:tbl>
      <w:tblPr>
        <w:tblLayout w:type="fixed"/>
        <w:tblInd w:w="70" w:type="dxa"/>
        <w:tblCellMar>
          <w:top w:w="0" w:type="dxa"/>
          <w:left w:w="0" w:type="dxa"/>
          <w:bottom w:w="0" w:type="dxa"/>
          <w:right w:w="0" w:type="dxa"/>
        </w:tblCellMar>
      </w:tblPr>
      <w:tr>
        <w:trPr>
          <w:trHeight w:val="184"/>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2200" w:type="dxa"/>
            <w:vAlign w:val="bottom"/>
            <w:vMerge w:val="restart"/>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80" w:type="dxa"/>
            <w:vAlign w:val="bottom"/>
          </w:tcPr>
          <w:p>
            <w:pPr>
              <w:spacing w:after="0"/>
              <w:rPr>
                <w:sz w:val="16"/>
                <w:szCs w:val="16"/>
                <w:color w:val="auto"/>
              </w:rPr>
            </w:pP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Weighted Average Grant-Date</w:t>
            </w:r>
          </w:p>
        </w:tc>
        <w:tc>
          <w:tcPr>
            <w:tcW w:w="0" w:type="dxa"/>
            <w:vAlign w:val="bottom"/>
          </w:tcPr>
          <w:p>
            <w:pPr>
              <w:spacing w:after="0"/>
              <w:rPr>
                <w:sz w:val="1"/>
                <w:szCs w:val="1"/>
                <w:color w:val="auto"/>
              </w:rPr>
            </w:pPr>
          </w:p>
        </w:tc>
      </w:tr>
      <w:tr>
        <w:trPr>
          <w:trHeight w:val="214"/>
        </w:trPr>
        <w:tc>
          <w:tcPr>
            <w:tcW w:w="5700" w:type="dxa"/>
            <w:vAlign w:val="bottom"/>
            <w:vMerge w:val="continue"/>
          </w:tcPr>
          <w:p>
            <w:pPr>
              <w:spacing w:after="0"/>
              <w:rPr>
                <w:sz w:val="18"/>
                <w:szCs w:val="18"/>
                <w:color w:val="auto"/>
              </w:rPr>
            </w:pPr>
          </w:p>
        </w:tc>
        <w:tc>
          <w:tcPr>
            <w:tcW w:w="2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77"/>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Service-based units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3,241</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10.52</w:t>
            </w:r>
          </w:p>
        </w:tc>
        <w:tc>
          <w:tcPr>
            <w:tcW w:w="0" w:type="dxa"/>
            <w:vAlign w:val="bottom"/>
          </w:tcPr>
          <w:p>
            <w:pPr>
              <w:spacing w:after="0"/>
              <w:rPr>
                <w:sz w:val="1"/>
                <w:szCs w:val="1"/>
                <w:color w:val="auto"/>
              </w:rPr>
            </w:pPr>
          </w:p>
        </w:tc>
      </w:tr>
      <w:tr>
        <w:trPr>
          <w:trHeight w:val="303"/>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Performance-based units</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11.49</w:t>
            </w:r>
          </w:p>
        </w:tc>
        <w:tc>
          <w:tcPr>
            <w:tcW w:w="0" w:type="dxa"/>
            <w:vAlign w:val="bottom"/>
          </w:tcPr>
          <w:p>
            <w:pPr>
              <w:spacing w:after="0"/>
              <w:rPr>
                <w:sz w:val="1"/>
                <w:szCs w:val="1"/>
                <w:color w:val="auto"/>
              </w:rPr>
            </w:pPr>
          </w:p>
        </w:tc>
      </w:tr>
      <w:tr>
        <w:trPr>
          <w:trHeight w:val="260"/>
        </w:trPr>
        <w:tc>
          <w:tcPr>
            <w:tcW w:w="5700" w:type="dxa"/>
            <w:vAlign w:val="bottom"/>
          </w:tcPr>
          <w:p>
            <w:pPr>
              <w:spacing w:after="0"/>
              <w:rPr>
                <w:sz w:val="20"/>
                <w:szCs w:val="20"/>
                <w:color w:val="auto"/>
              </w:rPr>
            </w:pPr>
            <w:r>
              <w:rPr>
                <w:rFonts w:ascii="Times New Roman" w:cs="Times New Roman" w:eastAsia="Times New Roman" w:hAnsi="Times New Roman"/>
                <w:sz w:val="20"/>
                <w:szCs w:val="20"/>
                <w:color w:val="auto"/>
              </w:rPr>
              <w:t>Total restricted stock units</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4,003</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-602615</wp:posOffset>
            </wp:positionV>
            <wp:extent cx="6530975" cy="622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a:extLst>
                        <a:ext uri="{28A0092B-C50C-407E-A947-70E740481C1C}"/>
                      </a:extLst>
                    </a:blip>
                    <a:srcRect/>
                    <a:stretch>
                      <a:fillRect/>
                    </a:stretch>
                  </pic:blipFill>
                  <pic:spPr bwMode="auto">
                    <a:xfrm>
                      <a:off x="0" y="0"/>
                      <a:ext cx="6530975" cy="622300"/>
                    </a:xfrm>
                    <a:prstGeom prst="rect">
                      <a:avLst/>
                    </a:prstGeom>
                    <a:noFill/>
                  </pic:spPr>
                </pic:pic>
              </a:graphicData>
            </a:graphic>
          </wp:anchor>
        </w:drawing>
      </w:r>
    </w:p>
    <w:p>
      <w:pPr>
        <w:spacing w:after="0" w:line="228"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On March 3, 2025, the Company granted market-based restricted stock units vesting on March 3, 2028. The fair value of the awards was determined based on the grant date fair value and will be recognized over the requisite service period.</w:t>
      </w:r>
    </w:p>
    <w:p>
      <w:pPr>
        <w:spacing w:after="0" w:line="181" w:lineRule="exact"/>
        <w:rPr>
          <w:sz w:val="20"/>
          <w:szCs w:val="20"/>
          <w:color w:val="auto"/>
        </w:rPr>
      </w:pPr>
    </w:p>
    <w:p>
      <w:pPr>
        <w:jc w:val="both"/>
        <w:ind w:left="10" w:right="20"/>
        <w:spacing w:after="0" w:line="281" w:lineRule="auto"/>
        <w:rPr>
          <w:sz w:val="20"/>
          <w:szCs w:val="20"/>
          <w:color w:val="auto"/>
        </w:rPr>
      </w:pPr>
      <w:r>
        <w:rPr>
          <w:rFonts w:ascii="Times New Roman" w:cs="Times New Roman" w:eastAsia="Times New Roman" w:hAnsi="Times New Roman"/>
          <w:sz w:val="20"/>
          <w:szCs w:val="20"/>
          <w:color w:val="auto"/>
        </w:rPr>
        <w:t>The table below details the significant assumptions used in determining the fair value of the market-based restricted stock units granted on March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6540500" cy="596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9">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tbl>
      <w:tblPr>
        <w:tblLayout w:type="fixed"/>
        <w:tblInd w:w="50" w:type="dxa"/>
        <w:tblCellMar>
          <w:top w:w="0" w:type="dxa"/>
          <w:left w:w="0" w:type="dxa"/>
          <w:bottom w:w="0" w:type="dxa"/>
          <w:right w:w="0" w:type="dxa"/>
        </w:tblCellMar>
      </w:tblPr>
      <w:tr>
        <w:trPr>
          <w:trHeight w:val="27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3.86 %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48.34 %</w:t>
            </w:r>
          </w:p>
        </w:tc>
      </w:tr>
    </w:tbl>
    <w:p>
      <w:pPr>
        <w:spacing w:after="0" w:line="291"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spacing w:after="0" w:line="195"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color w:val="auto"/>
        </w:rPr>
        <w:t>On November 8, 2024, the Company granted market-based restricted stock units vesting on November 8, 2027. The number of awards that vest are subject to the satisfaction of performance-based vesting conditions tied to the Company’s common stock price. The performance-based vesting conditions require that at any time during the 3-year performance period prior to November 8, 2027, the twenty-trading day trailing average price for the Company’s common stock must equal or exceed a stock price threshold of $22.00 for twenty consecutive trading days. In addition, should the twenty-trading day trailing average price for the Company’s common stock equal or exceed $24.00 at any time during the performance period for twenty consecutive trading days, the payout will be 125% and should the twenty-trading day trailing average price for the Company’s common stock equal or exceed $26.00 at any time during the performance period for twenty consecutive trading days, the payout will be 150%. Payouts for stock prices between prices provided herein shall be calculated applying linear interpolation.</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270"/>
          </w:cols>
          <w:pgMar w:left="990" w:top="220" w:right="98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fair value of the awards was determined based on the grant date fair value and will be recognized over the requisite service period.</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table below details the significant assumptions used in determining the fair value of the market-based restricted stock units granted on November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-10160</wp:posOffset>
            </wp:positionV>
            <wp:extent cx="6540500" cy="596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7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4.09 %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46.53 %</w:t>
            </w:r>
          </w:p>
        </w:tc>
      </w:tr>
    </w:tbl>
    <w:p>
      <w:pPr>
        <w:spacing w:after="0" w:line="2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On March 15, 2024, the Company granted market-based restricted stock units vesting on March 15, 2027. The fair value of the awards was determined based on the grant date fair value and will be recognized over the requisite service period.</w:t>
      </w:r>
    </w:p>
    <w:p>
      <w:pPr>
        <w:spacing w:after="0" w:line="1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table below details the significant assumptions used in determining the fair value of the market-based restricted stock units granted on March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-10160</wp:posOffset>
            </wp:positionV>
            <wp:extent cx="6540500" cy="596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1">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7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4.44 %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60.37 %</w:t>
            </w:r>
          </w:p>
        </w:tc>
      </w:tr>
    </w:tbl>
    <w:p>
      <w:pPr>
        <w:spacing w:after="0" w:line="2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February 13, 2023, the Company granted market-based restricted stock units vesting on December 31, 2025. The number of awards that vest are subject to the compound annual growth rate (“CAGR”) of the Company’s stock price from January 1, 2023 to December 31, 2025 (the “performance period”), subject to an alternative level of achievement based on the Company’s relative total shareholder return ranking among a comparison group. The fair value of the awards was determined to be $35.04 per share based on using a Monte-Carlo simulation model and was recognized over the requisite service period.</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Approximately 50% of these market-based restricted stock units included an accelerated vesting provision if a Qualified Transaction, as defined in the award agreement, took place during the performance period (with a minimum vesting period of one year from the grant date). Upon the occurrence of a Qualified Transaction, the number of shares that would vest based on the Company’s 20-day volume-weighted average closing stock price immediately preceding the transaction date. The Spin-Off resulted in a Qualified Transaction and as such, these market-based restricted stock units were subject to accelerated vesting as defined in the award agreement.</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table below details the significant assumptions used in determining the fair value of the market-based restricted stock units granted on 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-10160</wp:posOffset>
            </wp:positionV>
            <wp:extent cx="6540500" cy="596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2">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7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4.15 %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55.90 %</w:t>
            </w:r>
          </w:p>
        </w:tc>
      </w:tr>
    </w:tbl>
    <w:p>
      <w:pPr>
        <w:spacing w:after="0" w:line="2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February 25, 2022, the Company granted market-based restricted stock units vesting on December 31, 2024. The number of awards that vest are subject to the performance of the Company’s stock price from the date of grant to December 31, 2024. The fair value of the awards was determined to be $57.67 per share based on using a Monte-Carlo simulation model and was recognized over the requisite service period. The table below details the assumptions used in determining the fair value of the market-based restricted stock units.</w:t>
      </w:r>
    </w:p>
    <w:p>
      <w:pPr>
        <w:sectPr>
          <w:pgSz w:w="12240" w:h="15840" w:orient="portrait"/>
          <w:cols w:equalWidth="0" w:num="1">
            <w:col w:w="10240"/>
          </w:cols>
          <w:pgMar w:left="1000" w:top="220" w:right="100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240"/>
          </w:cols>
          <w:pgMar w:left="1000" w:top="220" w:right="100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416560</wp:posOffset>
            </wp:positionV>
            <wp:extent cx="6540500" cy="596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3">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1.73 %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59.26 %</w:t>
            </w:r>
          </w:p>
        </w:tc>
      </w:tr>
    </w:tbl>
    <w:p>
      <w:pPr>
        <w:spacing w:after="0" w:line="2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Expected volatility for the market-based restricted stock units is calculated as the historical volatility of the Company’s stock over a period of three years, as management believes this is the best representation of prospective trends. The risk-free interest rate was determined based on a three year U.S. Treasury yield curve in effect at the time of the grant.</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On December 21, 2022, the Company granted market-based restricted stock units vesting on December 31, 2025. The number of awards that vest are subject to the compound annual growth rate (“CAGR”) of the Company’s stock price from January 1, 2023 to December 31, 2025 (the “performance period”), subject to an alternative level of achievement based on the Company’s relative total shareholder return ranking among a comparison group. The fair value of the awards was determined to be $29.66 per share based on using a Monte-Carlo simulation model and was recognized over the requisite service period.</w:t>
      </w:r>
    </w:p>
    <w:p>
      <w:pPr>
        <w:spacing w:after="0" w:line="20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Approximately 50% of these market-based restricted stock units included an accelerated vesting provision if a Qualified Transaction, as defined in the award agreement, took place during the performance period (with a minimum vesting period of one year from the grant date). Upon the occurrence of a Qualified Transaction, the number of shares that would vest based on the Company’s 20-day volume-weighted average closing stock price immediately preceding the transaction date. The Spin-Off resulted in a Qualified Transaction and as such, these market-based restricted stock units were subject to accelerated vesting as defined in the award agreement.</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table below details the significant assumptions used in determining the fair value of the market-based restricted stock units granted on December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-10160</wp:posOffset>
            </wp:positionV>
            <wp:extent cx="6540500" cy="596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4">
                      <a:extLst>
                        <a:ext uri="{28A0092B-C50C-407E-A947-70E740481C1C}"/>
                      </a:extLst>
                    </a:blip>
                    <a:srcRect/>
                    <a:stretch>
                      <a:fillRect/>
                    </a:stretch>
                  </pic:blipFill>
                  <pic:spPr bwMode="auto">
                    <a:xfrm>
                      <a:off x="0" y="0"/>
                      <a:ext cx="6540500" cy="59690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7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3.90 %</w:t>
            </w:r>
          </w:p>
        </w:tc>
      </w:tr>
      <w:tr>
        <w:trPr>
          <w:trHeight w:val="30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4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64.93 %</w:t>
            </w:r>
          </w:p>
        </w:tc>
      </w:tr>
    </w:tbl>
    <w:p>
      <w:pPr>
        <w:spacing w:after="0" w:line="29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Options</w:t>
      </w:r>
    </w:p>
    <w:p>
      <w:pPr>
        <w:spacing w:after="0" w:line="25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SIP also provides for the grant of stock options to purchase shares of the Company’s common stock. The Compensation and Human Resource Committee has discretion to determine the material terms and conditions of option awards under the SIP, provided that (i) the exercise price must be no less than the fair market value of the Company’s common stock (defined as the closing price) on the date of grant, (ii) the term must be no longer than ten years, and (iii) in no event shall the normal vesting schedule provide for vesting in less than one year. Other terms and conditions of an award of stock options will be determined by the Compensation and Human Resource Committee as set forth in the applicable stock option award. The Compensation and Human Resource Committee has authority to administer the SIP, except that the Committee on Directors and Governance of the Company’s Board of Directors will administer the SIP with respect to non-employee members of the Board of Directors. New shares of the Company’s common stock are issued as a result of stock option exercises.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years ended December 31, 2025 and December 31, 2024, the Company did not grant any stock options.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260"/>
          </w:cols>
          <w:pgMar w:left="1000" w:top="220" w:right="98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Company’s stock option activity for the year ended December 31, 2025:</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280" w:type="dxa"/>
            <w:vAlign w:val="bottom"/>
            <w:vMerge w:val="restart"/>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Shares Under</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67"/>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12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67"/>
              <w:spacing w:after="0" w:line="160" w:lineRule="exact"/>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8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60" w:type="dxa"/>
            <w:vAlign w:val="bottom"/>
          </w:tcPr>
          <w:p>
            <w:pPr>
              <w:spacing w:after="0"/>
              <w:rPr>
                <w:sz w:val="13"/>
                <w:szCs w:val="13"/>
                <w:color w:val="auto"/>
              </w:rPr>
            </w:pPr>
          </w:p>
        </w:tc>
        <w:tc>
          <w:tcPr>
            <w:tcW w:w="12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4"/>
        </w:trPr>
        <w:tc>
          <w:tcPr>
            <w:tcW w:w="4820" w:type="dxa"/>
            <w:vAlign w:val="bottom"/>
            <w:vMerge w:val="continue"/>
          </w:tcPr>
          <w:p>
            <w:pPr>
              <w:spacing w:after="0"/>
              <w:rPr>
                <w:sz w:val="18"/>
                <w:szCs w:val="18"/>
                <w:color w:val="auto"/>
              </w:rPr>
            </w:pPr>
          </w:p>
        </w:tc>
        <w:tc>
          <w:tcPr>
            <w:tcW w:w="12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January 1</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6,772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19.18</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Exercised</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Forfeited or expired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18.05</w:t>
            </w:r>
          </w:p>
        </w:tc>
        <w:tc>
          <w:tcPr>
            <w:tcW w:w="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as of December 31</w:t>
            </w: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4,506</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19.75</w:t>
            </w:r>
          </w:p>
        </w:tc>
        <w:tc>
          <w:tcPr>
            <w:tcW w:w="80" w:type="dxa"/>
            <w:vAlign w:val="bottom"/>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Fully vested and expected to vest as of December 31</w:t>
            </w:r>
          </w:p>
        </w:tc>
        <w:tc>
          <w:tcPr>
            <w:tcW w:w="1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20" w:type="dxa"/>
            <w:vAlign w:val="bottom"/>
            <w:vMerge w:val="continue"/>
          </w:tcPr>
          <w:p>
            <w:pPr>
              <w:spacing w:after="0"/>
              <w:rPr>
                <w:sz w:val="20"/>
                <w:szCs w:val="20"/>
                <w:color w:val="auto"/>
              </w:rPr>
            </w:pPr>
          </w:p>
        </w:tc>
        <w:tc>
          <w:tcPr>
            <w:tcW w:w="12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4,506</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19.75</w:t>
            </w:r>
          </w:p>
        </w:tc>
        <w:tc>
          <w:tcPr>
            <w:tcW w:w="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Exercisable as of December 31</w:t>
            </w:r>
          </w:p>
        </w:tc>
        <w:tc>
          <w:tcPr>
            <w:tcW w:w="1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20" w:type="dxa"/>
            <w:vAlign w:val="bottom"/>
            <w:vMerge w:val="continue"/>
          </w:tcPr>
          <w:p>
            <w:pPr>
              <w:spacing w:after="0"/>
              <w:rPr>
                <w:sz w:val="20"/>
                <w:szCs w:val="20"/>
                <w:color w:val="auto"/>
              </w:rPr>
            </w:pPr>
          </w:p>
        </w:tc>
        <w:tc>
          <w:tcPr>
            <w:tcW w:w="12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4,506</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19.75</w:t>
            </w:r>
          </w:p>
        </w:tc>
        <w:tc>
          <w:tcPr>
            <w:tcW w:w="8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0.84</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-1364615</wp:posOffset>
            </wp:positionV>
            <wp:extent cx="6515100" cy="1384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5">
                      <a:extLst>
                        <a:ext uri="{28A0092B-C50C-407E-A947-70E740481C1C}"/>
                      </a:extLst>
                    </a:blip>
                    <a:srcRect/>
                    <a:stretch>
                      <a:fillRect/>
                    </a:stretch>
                  </pic:blipFill>
                  <pic:spPr bwMode="auto">
                    <a:xfrm>
                      <a:off x="0" y="0"/>
                      <a:ext cx="6515100" cy="13843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there was no unrecognized compensation cost related to unvested stock option grants.</w:t>
      </w:r>
    </w:p>
    <w:p>
      <w:pPr>
        <w:spacing w:after="0" w:line="25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total intrinsic value of all options exercised was zero in 2025, $1 million in 2024, and $1 million in 2023. Cash received from option exercises under all share-based payment arrangements was zero in 2025, $4 million in 2024, and $2 million in 2023. There was no tax benefit realized from stock options exercised in 2025, 2024, or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Company’s amended Employee Stock Purchase Plan (“ESPP”) provides employees a 15% discount on stock purchases using a three-month look-back feature where the discount is applied to the stock price that represents the lower of the Company’s closing stock price on either the first day or the last day of each calendar quarter. Participants can contribute between 1% and 10% of their compensation. The amended ESPP was approved by the Company’s stockholders in 2016 and became effective January 1, 2017.</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Employees purchased approximately 1.1 million shares in both 2025 and 2024, and 0.9 million shares in 2023, for approximately $10 million, $11 million and $19 million, respectively. A total of 4 million shares were originally authorized to be issued under the ESPP before its amendment. Under the amended ESPP, 10 million shares were newly authorized to be issued, plus any shares remaining unissued under the prior ESPP after the last 2016 purchase date. Approximately 2.4 million authorized shares remain unissued under our amended ESPP as of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EMPLOYEE BENEFIT PLANS</w:t>
      </w:r>
    </w:p>
    <w:p>
      <w:pPr>
        <w:spacing w:after="0" w:line="2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Pension and Postemployment Plans </w:t>
      </w:r>
      <w:r>
        <w:rPr>
          <w:rFonts w:ascii="Times New Roman" w:cs="Times New Roman" w:eastAsia="Times New Roman" w:hAnsi="Times New Roman"/>
          <w:sz w:val="20"/>
          <w:szCs w:val="20"/>
          <w:color w:val="auto"/>
        </w:rPr>
        <w:t>The Company sponsors defined benefit pension plans. Following the Spin-Off, NCR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NCR Atleos U.S. pension plan to the extent NCR Atleos contributes more than $40 million on an annual basis beginning with the plan year ending December 31, 2024. The contribution threshold was met by NCR Atleos during the year ended December 31, 2024, resulting in a required contribution from NCR Voyix of less than $1 million. The contribution threshold is expected to be met by NCR Atleos for the year ended December 31, 2025, and the expected contribution from NCR Voyix is approximately $1 million.</w:t>
      </w:r>
    </w:p>
    <w:p>
      <w:pPr>
        <w:spacing w:after="0" w:line="20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Internationally, the defined benefit plans are based primarily upon compensation and years of service. Certain international plans also no longer offer additional benefits and are closed to new participants. The Company’s funding policy is to contribute annually no less than the minimum required by applicable laws and regulations. Assets of the Company’s defined benefit plans are primarily invested in common and commingled trusts.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recognizes the funded status of each applicable plan on the Consolidated Balance Sheets. Each overfunded plan is recognized as an asset and each underfunded plan is recognized as a liability. For pension plans, changes in the fair value of plan assets and net actuarial gains or losses are recognized upon remeasurement, which is at least annually in the fourth quarter of each year. For postemployment plans, changes to the funded status are recognized as a component of other comprehensive loss in stockholders’ equity.</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260"/>
          </w:cols>
          <w:pgMar w:left="1000" w:top="220" w:right="98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Non-U.S. employees are typically covered under government-sponsored programs, and the Company generally does not provide postretirement benefits other than pensions to non-U.S. retirees. The Company generally funds these benefits on a pay-as-you-go basis.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offers various postemployment benefits to involuntarily terminated and certain inactive employees after employment but before retirement. These benefits are paid in accordance with the Company’s established postemployment benefit practices and policies. Postemployment benefits include mainly severance as well as continuation of healthcare benefits and life insurance coverage while on disability. The Company provides appropriate accruals for these postemployment benefits. These postemployment benefits are funded on a pay-as-you-go basis.</w:t>
      </w:r>
    </w:p>
    <w:p>
      <w:pPr>
        <w:spacing w:after="0" w:line="20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Pension Plans </w:t>
      </w:r>
      <w:r>
        <w:rPr>
          <w:rFonts w:ascii="Times New Roman" w:cs="Times New Roman" w:eastAsia="Times New Roman" w:hAnsi="Times New Roman"/>
          <w:sz w:val="20"/>
          <w:szCs w:val="20"/>
          <w:color w:val="auto"/>
        </w:rPr>
        <w:t>Reconciliation of the beginning and ending balances of the benefit obligations for the Company’s pension plans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as follows: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rPr>
              <w:t>International Pension Benefits</w:t>
            </w:r>
          </w:p>
        </w:tc>
        <w:tc>
          <w:tcPr>
            <w:tcW w:w="0" w:type="dxa"/>
            <w:vAlign w:val="bottom"/>
          </w:tcPr>
          <w:p>
            <w:pPr>
              <w:spacing w:after="0"/>
              <w:rPr>
                <w:sz w:val="1"/>
                <w:szCs w:val="1"/>
                <w:color w:val="auto"/>
              </w:rPr>
            </w:pPr>
          </w:p>
        </w:tc>
      </w:tr>
      <w:tr>
        <w:trPr>
          <w:trHeight w:val="280"/>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77"/>
        </w:trPr>
        <w:tc>
          <w:tcPr>
            <w:tcW w:w="61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 in benefit obligation</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 as of January 1</w:t>
            </w:r>
          </w:p>
        </w:tc>
        <w:tc>
          <w:tcPr>
            <w:tcW w:w="50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162</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c>
          <w:tcPr>
            <w:tcW w:w="0" w:type="dxa"/>
            <w:vAlign w:val="bottom"/>
          </w:tcPr>
          <w:p>
            <w:pPr>
              <w:spacing w:after="0"/>
              <w:rPr>
                <w:sz w:val="1"/>
                <w:szCs w:val="1"/>
                <w:color w:val="auto"/>
              </w:rPr>
            </w:pPr>
          </w:p>
        </w:tc>
      </w:tr>
      <w:tr>
        <w:trPr>
          <w:trHeight w:val="30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Net service cost</w:t>
            </w: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30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 loss</w:t>
            </w: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30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30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Settlements</w:t>
            </w: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03"/>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Currency translation adjustments</w:t>
            </w: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60"/>
        </w:trPr>
        <w:tc>
          <w:tcPr>
            <w:tcW w:w="610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 as of December 31</w:t>
            </w:r>
          </w:p>
        </w:tc>
        <w:tc>
          <w:tcPr>
            <w:tcW w:w="5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164</w:t>
            </w:r>
          </w:p>
        </w:tc>
        <w:tc>
          <w:tcPr>
            <w:tcW w:w="80" w:type="dxa"/>
            <w:vAlign w:val="bottom"/>
          </w:tcPr>
          <w:p>
            <w:pPr>
              <w:spacing w:after="0"/>
              <w:rPr>
                <w:sz w:val="22"/>
                <w:szCs w:val="22"/>
                <w:color w:val="auto"/>
              </w:rPr>
            </w:pPr>
          </w:p>
        </w:tc>
        <w:tc>
          <w:tcPr>
            <w:tcW w:w="4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Accumulated benefit obligation as of December 31</w:t>
            </w: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100" w:type="dxa"/>
            <w:vAlign w:val="bottom"/>
            <w:vMerge w:val="continue"/>
          </w:tcPr>
          <w:p>
            <w:pPr>
              <w:spacing w:after="0"/>
              <w:rPr>
                <w:sz w:val="20"/>
                <w:szCs w:val="20"/>
                <w:color w:val="auto"/>
              </w:rPr>
            </w:pPr>
          </w:p>
        </w:tc>
        <w:tc>
          <w:tcPr>
            <w:tcW w:w="50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163</w:t>
            </w:r>
          </w:p>
        </w:tc>
        <w:tc>
          <w:tcPr>
            <w:tcW w:w="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-1936115</wp:posOffset>
            </wp:positionV>
            <wp:extent cx="6524625" cy="1955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6">
                      <a:extLst>
                        <a:ext uri="{28A0092B-C50C-407E-A947-70E740481C1C}"/>
                      </a:extLst>
                    </a:blip>
                    <a:srcRect/>
                    <a:stretch>
                      <a:fillRect/>
                    </a:stretch>
                  </pic:blipFill>
                  <pic:spPr bwMode="auto">
                    <a:xfrm>
                      <a:off x="0" y="0"/>
                      <a:ext cx="6524625" cy="195580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 reconciliation of the beginning and ending balances of the fair value of the plan assets of the Company’s pension plans are as follows:</w:t>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903"/>
              <w:spacing w:after="0"/>
              <w:rPr>
                <w:sz w:val="20"/>
                <w:szCs w:val="20"/>
                <w:color w:val="auto"/>
              </w:rPr>
            </w:pPr>
            <w:r>
              <w:rPr>
                <w:rFonts w:ascii="Times New Roman" w:cs="Times New Roman" w:eastAsia="Times New Roman" w:hAnsi="Times New Roman"/>
                <w:sz w:val="16"/>
                <w:szCs w:val="16"/>
                <w:b w:val="1"/>
                <w:bCs w:val="1"/>
                <w:color w:val="auto"/>
              </w:rPr>
              <w:t>International Pension Benefits</w:t>
            </w:r>
          </w:p>
        </w:tc>
        <w:tc>
          <w:tcPr>
            <w:tcW w:w="0" w:type="dxa"/>
            <w:vAlign w:val="bottom"/>
          </w:tcPr>
          <w:p>
            <w:pPr>
              <w:spacing w:after="0"/>
              <w:rPr>
                <w:sz w:val="1"/>
                <w:szCs w:val="1"/>
                <w:color w:val="auto"/>
              </w:rPr>
            </w:pPr>
          </w:p>
        </w:tc>
      </w:tr>
      <w:tr>
        <w:trPr>
          <w:trHeight w:val="235"/>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62"/>
        </w:trPr>
        <w:tc>
          <w:tcPr>
            <w:tcW w:w="6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 in plan assets</w:t>
            </w:r>
          </w:p>
        </w:tc>
        <w:tc>
          <w:tcPr>
            <w:tcW w:w="50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 as of January 1</w:t>
            </w:r>
          </w:p>
        </w:tc>
        <w:tc>
          <w:tcPr>
            <w:tcW w:w="50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Company contributions</w:t>
            </w: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30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Settlement</w:t>
            </w: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03"/>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Currency translation adjustments</w:t>
            </w: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60"/>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Fair value of plan assets as of December 31</w:t>
            </w:r>
          </w:p>
        </w:tc>
        <w:tc>
          <w:tcPr>
            <w:tcW w:w="50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-1545590</wp:posOffset>
            </wp:positionV>
            <wp:extent cx="6496050" cy="1565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a:extLst>
                        <a:ext uri="{28A0092B-C50C-407E-A947-70E740481C1C}"/>
                      </a:extLst>
                    </a:blip>
                    <a:srcRect/>
                    <a:stretch>
                      <a:fillRect/>
                    </a:stretch>
                  </pic:blipFill>
                  <pic:spPr bwMode="auto">
                    <a:xfrm>
                      <a:off x="0" y="0"/>
                      <a:ext cx="6496050" cy="156527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funded status and the reconciliation of the funded status to amounts recognized in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Balance Sheets and in Accumulated other comprehensive loss as of December 31:</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jc w:val="right"/>
              <w:ind w:right="903"/>
              <w:spacing w:after="0"/>
              <w:rPr>
                <w:sz w:val="20"/>
                <w:szCs w:val="20"/>
                <w:color w:val="auto"/>
              </w:rPr>
            </w:pPr>
            <w:r>
              <w:rPr>
                <w:rFonts w:ascii="Times New Roman" w:cs="Times New Roman" w:eastAsia="Times New Roman" w:hAnsi="Times New Roman"/>
                <w:sz w:val="16"/>
                <w:szCs w:val="16"/>
                <w:b w:val="1"/>
                <w:bCs w:val="1"/>
                <w:color w:val="auto"/>
              </w:rPr>
              <w:t>International Pension Benefits</w:t>
            </w:r>
          </w:p>
        </w:tc>
        <w:tc>
          <w:tcPr>
            <w:tcW w:w="0" w:type="dxa"/>
            <w:vAlign w:val="bottom"/>
          </w:tcPr>
          <w:p>
            <w:pPr>
              <w:spacing w:after="0"/>
              <w:rPr>
                <w:sz w:val="1"/>
                <w:szCs w:val="1"/>
                <w:color w:val="auto"/>
              </w:rPr>
            </w:pPr>
          </w:p>
        </w:tc>
      </w:tr>
      <w:tr>
        <w:trPr>
          <w:trHeight w:val="265"/>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7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5"/>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Funded Status</w:t>
            </w:r>
          </w:p>
        </w:tc>
        <w:tc>
          <w:tcPr>
            <w:tcW w:w="50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(98)</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Amounts recognized in the Consolidated Balance Sheets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060" w:type="dxa"/>
            <w:vAlign w:val="bottom"/>
            <w:vMerge w:val="continue"/>
          </w:tcPr>
          <w:p>
            <w:pPr>
              <w:spacing w:after="0"/>
              <w:rPr>
                <w:sz w:val="21"/>
                <w:szCs w:val="21"/>
                <w:color w:val="auto"/>
              </w:rPr>
            </w:pPr>
          </w:p>
        </w:tc>
        <w:tc>
          <w:tcPr>
            <w:tcW w:w="50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Noncurrent assets</w:t>
            </w:r>
          </w:p>
        </w:tc>
        <w:tc>
          <w:tcPr>
            <w:tcW w:w="50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85"/>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(136)</w:t>
            </w: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245"/>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Net amounts recognized</w:t>
            </w:r>
          </w:p>
        </w:tc>
        <w:tc>
          <w:tcPr>
            <w:tcW w:w="500" w:type="dxa"/>
            <w:vAlign w:val="bottom"/>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(98)</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-1116965</wp:posOffset>
            </wp:positionV>
            <wp:extent cx="6496050" cy="11366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8">
                      <a:extLst>
                        <a:ext uri="{28A0092B-C50C-407E-A947-70E740481C1C}"/>
                      </a:extLst>
                    </a:blip>
                    <a:srcRect/>
                    <a:stretch>
                      <a:fillRect/>
                    </a:stretch>
                  </pic:blipFill>
                  <pic:spPr bwMode="auto">
                    <a:xfrm>
                      <a:off x="0" y="0"/>
                      <a:ext cx="6496050" cy="1136650"/>
                    </a:xfrm>
                    <a:prstGeom prst="rect">
                      <a:avLst/>
                    </a:prstGeom>
                    <a:noFill/>
                  </pic:spPr>
                </pic:pic>
              </a:graphicData>
            </a:graphic>
          </wp:anchor>
        </w:drawing>
      </w:r>
    </w:p>
    <w:p>
      <w:pPr>
        <w:sectPr>
          <w:pgSz w:w="12240" w:h="15840" w:orient="portrait"/>
          <w:cols w:equalWidth="0" w:num="1">
            <w:col w:w="10240"/>
          </w:cols>
          <w:pgMar w:left="1000" w:top="22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240"/>
          </w:cols>
          <w:pgMar w:left="1000" w:top="220" w:right="100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For pension plans with accumulated benefit obligations in excess of plan assets, the projected benefit obligation and accumulated benefit obligation were $145 million as of December 31, 2025, and $142 million and $141 million, respectively, as of December 31, 2024. The fair value of assets was zero as of December 31, 2025 and December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net periodic benefit (income) cost of the pension plans for the years ended December 31 was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International Pension Benefits</w:t>
            </w:r>
          </w:p>
        </w:tc>
        <w:tc>
          <w:tcPr>
            <w:tcW w:w="1100" w:type="dxa"/>
            <w:vAlign w:val="bottom"/>
            <w:tcBorders>
              <w:bottom w:val="single" w:sz="8" w:color="auto"/>
            </w:tcBorders>
          </w:tcPr>
          <w:p>
            <w:pPr>
              <w:spacing w:after="0"/>
              <w:rPr>
                <w:sz w:val="18"/>
                <w:szCs w:val="18"/>
                <w:color w:val="auto"/>
              </w:rPr>
            </w:pPr>
          </w:p>
        </w:tc>
      </w:t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Net service cost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4"/>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5"/>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6"/>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 loss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45"/>
        </w:trPr>
        <w:tc>
          <w:tcPr>
            <w:tcW w:w="5520" w:type="dxa"/>
            <w:vAlign w:val="bottom"/>
          </w:tcPr>
          <w:p>
            <w:pPr>
              <w:spacing w:after="0"/>
              <w:rPr>
                <w:sz w:val="20"/>
                <w:szCs w:val="20"/>
                <w:color w:val="auto"/>
              </w:rPr>
            </w:pPr>
            <w:r>
              <w:rPr>
                <w:rFonts w:ascii="Times New Roman" w:cs="Times New Roman" w:eastAsia="Times New Roman" w:hAnsi="Times New Roman"/>
                <w:sz w:val="20"/>
                <w:szCs w:val="20"/>
                <w:color w:val="auto"/>
              </w:rPr>
              <w:t>Net periodic benefit (income) cost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0"/>
        </w:trPr>
        <w:tc>
          <w:tcPr>
            <w:tcW w:w="5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-935990</wp:posOffset>
            </wp:positionV>
            <wp:extent cx="6524625" cy="9556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9">
                      <a:extLst>
                        <a:ext uri="{28A0092B-C50C-407E-A947-70E740481C1C}"/>
                      </a:extLst>
                    </a:blip>
                    <a:srcRect/>
                    <a:stretch>
                      <a:fillRect/>
                    </a:stretch>
                  </pic:blipFill>
                  <pic:spPr bwMode="auto">
                    <a:xfrm>
                      <a:off x="0" y="0"/>
                      <a:ext cx="6524625" cy="955675"/>
                    </a:xfrm>
                    <a:prstGeom prst="rect">
                      <a:avLst/>
                    </a:prstGeom>
                    <a:noFill/>
                  </pic:spPr>
                </pic:pic>
              </a:graphicData>
            </a:graphic>
          </wp:anchor>
        </w:drawing>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net actuarial gain in 2025 and 2024 were primarily due to plan experience gains as well as increases in discount rates and favorable returns on plan assets. The net actuarial loss in 2023 was primarily due to plan experience losses as well as a decrease in discount rates, partially offset by favorable returns on plan assets.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weighted average rates and assumptions used to determine benefit obligations as of December 31 were as follows:</w:t>
      </w:r>
    </w:p>
    <w:p>
      <w:pPr>
        <w:spacing w:after="0" w:line="13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b w:val="1"/>
          <w:bCs w:val="1"/>
          <w:color w:val="auto"/>
        </w:rPr>
        <w:t>International Pension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3937000</wp:posOffset>
                </wp:positionH>
                <wp:positionV relativeFrom="paragraph">
                  <wp:posOffset>26670</wp:posOffset>
                </wp:positionV>
                <wp:extent cx="256222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pt,2.1pt" to="511.75pt,2.1pt" o:allowincell="f" strokecolor="#000000" strokeweight="1pt"/>
            </w:pict>
          </mc:Fallback>
        </mc:AlternateConten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Discount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3.8 %</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3.2 %</w:t>
            </w:r>
          </w:p>
        </w:tc>
      </w:tr>
      <w:tr>
        <w:trPr>
          <w:trHeight w:val="300"/>
        </w:trPr>
        <w:tc>
          <w:tcPr>
            <w:tcW w:w="7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Rate of compensation increase</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2.9 %</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-384810</wp:posOffset>
            </wp:positionV>
            <wp:extent cx="6530975" cy="406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0">
                      <a:extLst>
                        <a:ext uri="{28A0092B-C50C-407E-A947-70E740481C1C}"/>
                      </a:extLst>
                    </a:blip>
                    <a:srcRect/>
                    <a:stretch>
                      <a:fillRect/>
                    </a:stretch>
                  </pic:blipFill>
                  <pic:spPr bwMode="auto">
                    <a:xfrm>
                      <a:off x="0" y="0"/>
                      <a:ext cx="6530975" cy="406400"/>
                    </a:xfrm>
                    <a:prstGeom prst="rect">
                      <a:avLst/>
                    </a:prstGeom>
                    <a:noFill/>
                  </pic:spPr>
                </pic:pic>
              </a:graphicData>
            </a:graphic>
          </wp:anchor>
        </w:drawing>
      </w:r>
    </w:p>
    <w:p>
      <w:pPr>
        <w:spacing w:after="0" w:line="2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weighted average rates and assumptions used to determine net periodic benefit (income) cost for the years ended December 31 were as follows:</w:t>
      </w:r>
    </w:p>
    <w:p>
      <w:pPr>
        <w:spacing w:after="0" w:line="161"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47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1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Pension Benefits</w:t>
            </w:r>
          </w:p>
        </w:tc>
        <w:tc>
          <w:tcPr>
            <w:tcW w:w="1320" w:type="dxa"/>
            <w:vAlign w:val="bottom"/>
            <w:tcBorders>
              <w:bottom w:val="single" w:sz="8" w:color="auto"/>
            </w:tcBorders>
          </w:tcPr>
          <w:p>
            <w:pPr>
              <w:spacing w:after="0"/>
              <w:rPr>
                <w:sz w:val="18"/>
                <w:szCs w:val="18"/>
                <w:color w:val="auto"/>
              </w:rPr>
            </w:pPr>
          </w:p>
        </w:tc>
      </w:tr>
      <w:tr>
        <w:trPr>
          <w:trHeight w:val="280"/>
        </w:trPr>
        <w:tc>
          <w:tcPr>
            <w:tcW w:w="47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Borders>
              <w:bottom w:val="single" w:sz="8" w:color="auto"/>
            </w:tcBorders>
            <w:gridSpan w:val="2"/>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Discount rate - Service Cost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1.8 %</w:t>
            </w:r>
          </w:p>
        </w:tc>
      </w:tr>
      <w:tr>
        <w:trPr>
          <w:trHeight w:val="300"/>
        </w:trPr>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Discount rate - Interest Cost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3.4 %</w:t>
            </w:r>
          </w:p>
        </w:tc>
      </w:tr>
      <w:tr>
        <w:trPr>
          <w:trHeight w:val="300"/>
        </w:trPr>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5.0 %</w:t>
            </w:r>
          </w:p>
        </w:tc>
      </w:tr>
      <w:tr>
        <w:trPr>
          <w:trHeight w:val="300"/>
        </w:trPr>
        <w:tc>
          <w:tcPr>
            <w:tcW w:w="5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Rate of compensation increase</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-765810</wp:posOffset>
            </wp:positionV>
            <wp:extent cx="6473825" cy="787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1">
                      <a:extLst>
                        <a:ext uri="{28A0092B-C50C-407E-A947-70E740481C1C}"/>
                      </a:extLst>
                    </a:blip>
                    <a:srcRect/>
                    <a:stretch>
                      <a:fillRect/>
                    </a:stretch>
                  </pic:blipFill>
                  <pic:spPr bwMode="auto">
                    <a:xfrm>
                      <a:off x="0" y="0"/>
                      <a:ext cx="6473825" cy="787400"/>
                    </a:xfrm>
                    <a:prstGeom prst="rect">
                      <a:avLst/>
                    </a:prstGeom>
                    <a:noFill/>
                  </pic:spPr>
                </pic:pic>
              </a:graphicData>
            </a:graphic>
          </wp:anchor>
        </w:drawing>
      </w:r>
    </w:p>
    <w:p>
      <w:pPr>
        <w:spacing w:after="0" w:line="27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weighted-average cash balance interest crediting rate for the Company’s cash balance defined benefit plans was 2.1% and 1.5% for the years ended December 31, 2025 and 2024, respectively.</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discount rate used to determine the International plans benefit obligations as of December 31, 2025 were derived by examining interest rate levels and trends within each country, particularly yields on high-quality, long-term corporate bonds, relative to our future expected cash flows.</w:t>
      </w:r>
    </w:p>
    <w:p>
      <w:pPr>
        <w:spacing w:after="0" w:line="19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employs a building block approach as its primary approach in determining the long-term expected rate of return assumptions for plan assets. Historical market returns are studied and long-term relationships between equities and fixed income are preserved consistent with the widely accepted capital market principle that assets with higher volatilities generate higher returns over the long run. Current market factors, such as inflation and interest rates are evaluated before long-term capital market assumptions are determined. The expected long-term portfolio return is established for each plan via a building block approach with proper rebalancing consideration. The result is then adjusted to reflect additional expected return from active management net of plan expenses. Historical plan returns, the expectations of other capital market participants, and peer data may be used to review and assess the results for reasonableness and appropriateness.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260"/>
          </w:cols>
          <w:pgMar w:left="1000" w:top="220" w:right="980" w:bottom="0" w:gutter="0" w:footer="0" w:header="0"/>
          <w:type w:val="continuous"/>
        </w:sectPr>
      </w:pPr>
    </w:p>
    <w:bookmarkStart w:id="99" w:name="page100"/>
    <w:bookmarkEnd w:id="99"/>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Plan Assets </w:t>
      </w:r>
      <w:r>
        <w:rPr>
          <w:rFonts w:ascii="Times New Roman" w:cs="Times New Roman" w:eastAsia="Times New Roman" w:hAnsi="Times New Roman"/>
          <w:sz w:val="20"/>
          <w:szCs w:val="20"/>
          <w:color w:val="auto"/>
        </w:rPr>
        <w:t>The weighted average asset allocations as of December 31, 2025 and 2024 by asset category are as follows:</w:t>
      </w:r>
    </w:p>
    <w:p>
      <w:pPr>
        <w:spacing w:after="0" w:line="248" w:lineRule="exact"/>
        <w:rPr>
          <w:sz w:val="20"/>
          <w:szCs w:val="20"/>
          <w:color w:val="auto"/>
        </w:rPr>
      </w:pPr>
    </w:p>
    <w:tbl>
      <w:tblPr>
        <w:tblLayout w:type="fixed"/>
        <w:tblInd w:w="190" w:type="dxa"/>
        <w:tblCellMar>
          <w:top w:w="0" w:type="dxa"/>
          <w:left w:w="0" w:type="dxa"/>
          <w:bottom w:w="0" w:type="dxa"/>
          <w:right w:w="0" w:type="dxa"/>
        </w:tblCellMar>
      </w:tblPr>
      <w:tr>
        <w:trPr>
          <w:trHeight w:val="217"/>
        </w:trPr>
        <w:tc>
          <w:tcPr>
            <w:tcW w:w="33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International Pension Fund</w:t>
            </w: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r>
      <w:tr>
        <w:trPr>
          <w:trHeight w:val="295"/>
        </w:trPr>
        <w:tc>
          <w:tcPr>
            <w:tcW w:w="3340" w:type="dxa"/>
            <w:vAlign w:val="bottom"/>
          </w:tcPr>
          <w:p>
            <w:pPr>
              <w:spacing w:after="0"/>
              <w:rPr>
                <w:sz w:val="24"/>
                <w:szCs w:val="24"/>
                <w:color w:val="auto"/>
              </w:rPr>
            </w:pPr>
          </w:p>
        </w:tc>
        <w:tc>
          <w:tcPr>
            <w:tcW w:w="4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Actual Allocation of Plan Assets as of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0"/>
        </w:trPr>
        <w:tc>
          <w:tcPr>
            <w:tcW w:w="3340" w:type="dxa"/>
            <w:vAlign w:val="bottom"/>
          </w:tcPr>
          <w:p>
            <w:pPr>
              <w:spacing w:after="0"/>
              <w:rPr>
                <w:sz w:val="24"/>
                <w:szCs w:val="24"/>
                <w:color w:val="auto"/>
              </w:rPr>
            </w:pPr>
          </w:p>
        </w:tc>
        <w:tc>
          <w:tcPr>
            <w:tcW w:w="15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Target Asset Allocation</w:t>
            </w:r>
          </w:p>
        </w:tc>
      </w:tr>
      <w:tr>
        <w:trPr>
          <w:trHeight w:val="277"/>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and other investments</w:t>
            </w:r>
            <w:r>
              <w:rPr>
                <w:rFonts w:ascii="Times New Roman" w:cs="Times New Roman" w:eastAsia="Times New Roman" w:hAnsi="Times New Roman"/>
                <w:sz w:val="11"/>
                <w:szCs w:val="11"/>
                <w:color w:val="auto"/>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71 %</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66 %</w:t>
            </w:r>
          </w:p>
        </w:tc>
        <w:tc>
          <w:tcPr>
            <w:tcW w:w="19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58.0%</w:t>
            </w:r>
          </w:p>
        </w:tc>
      </w:tr>
      <w:tr>
        <w:trPr>
          <w:trHeight w:val="300"/>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Debt securities</w:t>
            </w:r>
            <w:r>
              <w:rPr>
                <w:rFonts w:ascii="Times New Roman" w:cs="Times New Roman" w:eastAsia="Times New Roman" w:hAnsi="Times New Roman"/>
                <w:sz w:val="11"/>
                <w:szCs w:val="11"/>
                <w:color w:val="auto"/>
              </w:rPr>
              <w:t>(2)</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29 %</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1900" w:type="dxa"/>
            <w:vAlign w:val="bottom"/>
            <w:gridSpan w:val="2"/>
          </w:tcPr>
          <w:p>
            <w:pPr>
              <w:jc w:val="center"/>
              <w:ind w:left="40"/>
              <w:spacing w:after="0"/>
              <w:rPr>
                <w:sz w:val="20"/>
                <w:szCs w:val="20"/>
                <w:color w:val="auto"/>
              </w:rPr>
            </w:pPr>
            <w:r>
              <w:rPr>
                <w:rFonts w:ascii="Times New Roman" w:cs="Times New Roman" w:eastAsia="Times New Roman" w:hAnsi="Times New Roman"/>
                <w:sz w:val="20"/>
                <w:szCs w:val="20"/>
                <w:color w:val="auto"/>
              </w:rPr>
              <w:t>42.0%</w:t>
            </w:r>
          </w:p>
        </w:tc>
      </w:tr>
      <w:tr>
        <w:trPr>
          <w:trHeight w:val="303"/>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 %</w:t>
            </w:r>
          </w:p>
        </w:tc>
        <w:tc>
          <w:tcPr>
            <w:tcW w:w="1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1 %</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w:t>
            </w:r>
          </w:p>
        </w:tc>
      </w:tr>
      <w:tr>
        <w:trPr>
          <w:trHeight w:val="260"/>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100 %</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100 %</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
        </w:trPr>
        <w:tc>
          <w:tcPr>
            <w:tcW w:w="33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-793115</wp:posOffset>
            </wp:positionV>
            <wp:extent cx="6378575" cy="812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2">
                      <a:extLst>
                        <a:ext uri="{28A0092B-C50C-407E-A947-70E740481C1C}"/>
                      </a:extLst>
                    </a:blip>
                    <a:srcRect/>
                    <a:stretch>
                      <a:fillRect/>
                    </a:stretch>
                  </pic:blipFill>
                  <pic:spPr bwMode="auto">
                    <a:xfrm>
                      <a:off x="0" y="0"/>
                      <a:ext cx="6378575" cy="812800"/>
                    </a:xfrm>
                    <a:prstGeom prst="rect">
                      <a:avLst/>
                    </a:prstGeom>
                    <a:noFill/>
                  </pic:spPr>
                </pic:pic>
              </a:graphicData>
            </a:graphic>
          </wp:anchor>
        </w:drawing>
      </w:r>
    </w:p>
    <w:p>
      <w:pPr>
        <w:ind w:left="170" w:hanging="170"/>
        <w:spacing w:after="0" w:line="227" w:lineRule="auto"/>
        <w:tabs>
          <w:tab w:leader="none" w:pos="170" w:val="left"/>
        </w:tabs>
        <w:numPr>
          <w:ilvl w:val="0"/>
          <w:numId w:val="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equity securities and equities held in commingled trusts.</w:t>
      </w:r>
    </w:p>
    <w:p>
      <w:pPr>
        <w:spacing w:after="0" w:line="1" w:lineRule="exact"/>
        <w:rPr>
          <w:rFonts w:ascii="Times New Roman" w:cs="Times New Roman" w:eastAsia="Times New Roman" w:hAnsi="Times New Roman"/>
          <w:sz w:val="21"/>
          <w:szCs w:val="21"/>
          <w:color w:val="auto"/>
          <w:vertAlign w:val="superscript"/>
        </w:rPr>
      </w:pPr>
    </w:p>
    <w:p>
      <w:pPr>
        <w:ind w:left="170" w:hanging="170"/>
        <w:spacing w:after="0" w:line="189" w:lineRule="auto"/>
        <w:tabs>
          <w:tab w:leader="none" w:pos="170" w:val="left"/>
        </w:tabs>
        <w:numPr>
          <w:ilvl w:val="0"/>
          <w:numId w:val="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debt securities and debt held in commingled trusts.</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fair value of plan assets as of December 31, 2025 and 2024 by asset category is as follows:</w:t>
      </w:r>
    </w:p>
    <w:p>
      <w:pPr>
        <w:spacing w:after="0" w:line="200" w:lineRule="exact"/>
        <w:rPr>
          <w:sz w:val="20"/>
          <w:szCs w:val="20"/>
          <w:color w:val="auto"/>
        </w:rPr>
      </w:pPr>
    </w:p>
    <w:tbl>
      <w:tblPr>
        <w:tblLayout w:type="fixed"/>
        <w:tblInd w:w="190" w:type="dxa"/>
        <w:tblCellMar>
          <w:top w:w="0" w:type="dxa"/>
          <w:left w:w="0" w:type="dxa"/>
          <w:bottom w:w="0" w:type="dxa"/>
          <w:right w:w="0" w:type="dxa"/>
        </w:tblCellMar>
      </w:tblPr>
      <w:tr>
        <w:trPr>
          <w:trHeight w:val="217"/>
        </w:trPr>
        <w:tc>
          <w:tcPr>
            <w:tcW w:w="2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International</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Quoted Prices in</w:t>
            </w:r>
          </w:p>
        </w:tc>
        <w:tc>
          <w:tcPr>
            <w:tcW w:w="160" w:type="dxa"/>
            <w:vAlign w:val="bottom"/>
          </w:tcPr>
          <w:p>
            <w:pPr>
              <w:spacing w:after="0"/>
              <w:rPr>
                <w:sz w:val="24"/>
                <w:szCs w:val="24"/>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60" w:type="dxa"/>
            <w:vAlign w:val="bottom"/>
          </w:tcPr>
          <w:p>
            <w:pPr>
              <w:spacing w:after="0"/>
              <w:rPr>
                <w:sz w:val="24"/>
                <w:szCs w:val="24"/>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3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Active Markets</w:t>
            </w:r>
          </w:p>
        </w:tc>
        <w:tc>
          <w:tcPr>
            <w:tcW w:w="160" w:type="dxa"/>
            <w:vAlign w:val="bottom"/>
          </w:tcPr>
          <w:p>
            <w:pPr>
              <w:spacing w:after="0"/>
              <w:rPr>
                <w:sz w:val="13"/>
                <w:szCs w:val="13"/>
                <w:color w:val="auto"/>
              </w:rPr>
            </w:pPr>
          </w:p>
        </w:tc>
        <w:tc>
          <w:tcPr>
            <w:tcW w:w="112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3"/>
                <w:szCs w:val="13"/>
                <w:color w:val="auto"/>
              </w:rPr>
            </w:pPr>
          </w:p>
        </w:tc>
        <w:tc>
          <w:tcPr>
            <w:tcW w:w="114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140" w:type="dxa"/>
            <w:vAlign w:val="bottom"/>
          </w:tcPr>
          <w:p>
            <w:pPr>
              <w:spacing w:after="0"/>
              <w:rPr>
                <w:sz w:val="13"/>
                <w:szCs w:val="13"/>
                <w:color w:val="auto"/>
              </w:rPr>
            </w:pPr>
          </w:p>
        </w:tc>
        <w:tc>
          <w:tcPr>
            <w:tcW w:w="11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 Subject to</w:t>
            </w:r>
          </w:p>
        </w:tc>
        <w:tc>
          <w:tcPr>
            <w:tcW w:w="0" w:type="dxa"/>
            <w:vAlign w:val="bottom"/>
          </w:tcPr>
          <w:p>
            <w:pPr>
              <w:spacing w:after="0"/>
              <w:rPr>
                <w:sz w:val="1"/>
                <w:szCs w:val="1"/>
                <w:color w:val="auto"/>
              </w:rPr>
            </w:pPr>
          </w:p>
        </w:tc>
      </w:tr>
      <w:tr>
        <w:trPr>
          <w:trHeight w:val="16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60" w:type="dxa"/>
            <w:vAlign w:val="bottom"/>
          </w:tcPr>
          <w:p>
            <w:pPr>
              <w:spacing w:after="0"/>
              <w:rPr>
                <w:sz w:val="13"/>
                <w:szCs w:val="13"/>
                <w:color w:val="auto"/>
              </w:rPr>
            </w:pPr>
          </w:p>
        </w:tc>
        <w:tc>
          <w:tcPr>
            <w:tcW w:w="112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3"/>
                <w:szCs w:val="13"/>
                <w:color w:val="auto"/>
              </w:rPr>
            </w:pPr>
          </w:p>
        </w:tc>
        <w:tc>
          <w:tcPr>
            <w:tcW w:w="110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for Identical</w:t>
            </w:r>
          </w:p>
        </w:tc>
        <w:tc>
          <w:tcPr>
            <w:tcW w:w="160" w:type="dxa"/>
            <w:vAlign w:val="bottom"/>
          </w:tcPr>
          <w:p>
            <w:pPr>
              <w:spacing w:after="0"/>
              <w:rPr>
                <w:sz w:val="13"/>
                <w:szCs w:val="13"/>
                <w:color w:val="auto"/>
              </w:rPr>
            </w:pPr>
          </w:p>
        </w:tc>
        <w:tc>
          <w:tcPr>
            <w:tcW w:w="112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60" w:type="dxa"/>
            <w:vAlign w:val="bottom"/>
          </w:tcPr>
          <w:p>
            <w:pPr>
              <w:spacing w:after="0"/>
              <w:rPr>
                <w:sz w:val="13"/>
                <w:szCs w:val="13"/>
                <w:color w:val="auto"/>
              </w:rPr>
            </w:pPr>
          </w:p>
        </w:tc>
        <w:tc>
          <w:tcPr>
            <w:tcW w:w="114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940" w:type="dxa"/>
            <w:vAlign w:val="bottom"/>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Leveling</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Equity securities and other investments:</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and commingled trusts - Equities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Fixed income securities:</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and commingled trusts - Bonds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5"/>
        </w:trPr>
        <w:tc>
          <w:tcPr>
            <w:tcW w:w="29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International</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Quoted Prices in</w:t>
            </w:r>
          </w:p>
        </w:tc>
        <w:tc>
          <w:tcPr>
            <w:tcW w:w="160" w:type="dxa"/>
            <w:vAlign w:val="bottom"/>
          </w:tcPr>
          <w:p>
            <w:pPr>
              <w:spacing w:after="0"/>
              <w:rPr>
                <w:sz w:val="24"/>
                <w:szCs w:val="24"/>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60" w:type="dxa"/>
            <w:vAlign w:val="bottom"/>
          </w:tcPr>
          <w:p>
            <w:pPr>
              <w:spacing w:after="0"/>
              <w:rPr>
                <w:sz w:val="24"/>
                <w:szCs w:val="24"/>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30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Active Markets</w:t>
            </w:r>
          </w:p>
        </w:tc>
        <w:tc>
          <w:tcPr>
            <w:tcW w:w="160" w:type="dxa"/>
            <w:vAlign w:val="bottom"/>
          </w:tcPr>
          <w:p>
            <w:pPr>
              <w:spacing w:after="0"/>
              <w:rPr>
                <w:sz w:val="13"/>
                <w:szCs w:val="13"/>
                <w:color w:val="auto"/>
              </w:rPr>
            </w:pPr>
          </w:p>
        </w:tc>
        <w:tc>
          <w:tcPr>
            <w:tcW w:w="112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3"/>
                <w:szCs w:val="13"/>
                <w:color w:val="auto"/>
              </w:rPr>
            </w:pPr>
          </w:p>
        </w:tc>
        <w:tc>
          <w:tcPr>
            <w:tcW w:w="114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140" w:type="dxa"/>
            <w:vAlign w:val="bottom"/>
          </w:tcPr>
          <w:p>
            <w:pPr>
              <w:spacing w:after="0"/>
              <w:rPr>
                <w:sz w:val="13"/>
                <w:szCs w:val="13"/>
                <w:color w:val="auto"/>
              </w:rPr>
            </w:pPr>
          </w:p>
        </w:tc>
        <w:tc>
          <w:tcPr>
            <w:tcW w:w="1160" w:type="dxa"/>
            <w:vAlign w:val="bottom"/>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 Subject to</w:t>
            </w:r>
          </w:p>
        </w:tc>
        <w:tc>
          <w:tcPr>
            <w:tcW w:w="0" w:type="dxa"/>
            <w:vAlign w:val="bottom"/>
          </w:tcPr>
          <w:p>
            <w:pPr>
              <w:spacing w:after="0"/>
              <w:rPr>
                <w:sz w:val="1"/>
                <w:szCs w:val="1"/>
                <w:color w:val="auto"/>
              </w:rPr>
            </w:pPr>
          </w:p>
        </w:tc>
      </w:tr>
      <w:tr>
        <w:trPr>
          <w:trHeight w:val="160"/>
        </w:trPr>
        <w:tc>
          <w:tcPr>
            <w:tcW w:w="2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60" w:type="dxa"/>
            <w:vAlign w:val="bottom"/>
          </w:tcPr>
          <w:p>
            <w:pPr>
              <w:spacing w:after="0"/>
              <w:rPr>
                <w:sz w:val="13"/>
                <w:szCs w:val="13"/>
                <w:color w:val="auto"/>
              </w:rPr>
            </w:pPr>
          </w:p>
        </w:tc>
        <w:tc>
          <w:tcPr>
            <w:tcW w:w="112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3"/>
                <w:szCs w:val="13"/>
                <w:color w:val="auto"/>
              </w:rPr>
            </w:pPr>
          </w:p>
        </w:tc>
        <w:tc>
          <w:tcPr>
            <w:tcW w:w="110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8"/>
              </w:rPr>
              <w:t>for Identical</w:t>
            </w:r>
          </w:p>
        </w:tc>
        <w:tc>
          <w:tcPr>
            <w:tcW w:w="160" w:type="dxa"/>
            <w:vAlign w:val="bottom"/>
          </w:tcPr>
          <w:p>
            <w:pPr>
              <w:spacing w:after="0"/>
              <w:rPr>
                <w:sz w:val="13"/>
                <w:szCs w:val="13"/>
                <w:color w:val="auto"/>
              </w:rPr>
            </w:pPr>
          </w:p>
        </w:tc>
        <w:tc>
          <w:tcPr>
            <w:tcW w:w="112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Observable</w:t>
            </w:r>
          </w:p>
        </w:tc>
        <w:tc>
          <w:tcPr>
            <w:tcW w:w="160" w:type="dxa"/>
            <w:vAlign w:val="bottom"/>
          </w:tcPr>
          <w:p>
            <w:pPr>
              <w:spacing w:after="0"/>
              <w:rPr>
                <w:sz w:val="13"/>
                <w:szCs w:val="13"/>
                <w:color w:val="auto"/>
              </w:rPr>
            </w:pPr>
          </w:p>
        </w:tc>
        <w:tc>
          <w:tcPr>
            <w:tcW w:w="114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940" w:type="dxa"/>
            <w:vAlign w:val="bottom"/>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Leveling</w:t>
            </w:r>
          </w:p>
        </w:tc>
        <w:tc>
          <w:tcPr>
            <w:tcW w:w="0" w:type="dxa"/>
            <w:vAlign w:val="bottom"/>
          </w:tcPr>
          <w:p>
            <w:pPr>
              <w:spacing w:after="0"/>
              <w:rPr>
                <w:sz w:val="1"/>
                <w:szCs w:val="1"/>
                <w:color w:val="auto"/>
              </w:rPr>
            </w:pPr>
          </w:p>
        </w:tc>
      </w:tr>
      <w:tr>
        <w:trPr>
          <w:trHeight w:val="229"/>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Equity securities and other investments:</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and commingled trusts - Equities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55"/>
        </w:trPr>
        <w:tc>
          <w:tcPr>
            <w:tcW w:w="29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Fixed income securities:</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and commingled trusts - Bonds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5"/>
        </w:trPr>
        <w:tc>
          <w:tcPr>
            <w:tcW w:w="29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1990725</wp:posOffset>
                </wp:positionH>
                <wp:positionV relativeFrom="paragraph">
                  <wp:posOffset>-2822575</wp:posOffset>
                </wp:positionV>
                <wp:extent cx="34290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75pt,-222.2499pt" to="183.75pt,-222.2499pt" o:allowincell="f" strokecolor="#000000" strokeweight="0pt"/>
            </w:pict>
          </mc:Fallback>
        </mc:AlternateContent>
        <w:drawing>
          <wp:anchor simplePos="0" relativeHeight="251657728" behindDoc="1" locked="0" layoutInCell="0" allowOverlap="1">
            <wp:simplePos x="0" y="0"/>
            <wp:positionH relativeFrom="column">
              <wp:posOffset>73025</wp:posOffset>
            </wp:positionH>
            <wp:positionV relativeFrom="paragraph">
              <wp:posOffset>-2834640</wp:posOffset>
            </wp:positionV>
            <wp:extent cx="6381750" cy="1022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extLst>
                        <a:ext uri="{28A0092B-C50C-407E-A947-70E740481C1C}"/>
                      </a:extLst>
                    </a:blip>
                    <a:srcRect/>
                    <a:stretch>
                      <a:fillRect/>
                    </a:stretch>
                  </pic:blipFill>
                  <pic:spPr bwMode="auto">
                    <a:xfrm>
                      <a:off x="0" y="0"/>
                      <a:ext cx="6381750" cy="102235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-1002665</wp:posOffset>
            </wp:positionV>
            <wp:extent cx="6381750" cy="1022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4">
                      <a:extLst>
                        <a:ext uri="{28A0092B-C50C-407E-A947-70E740481C1C}"/>
                      </a:extLst>
                    </a:blip>
                    <a:srcRect/>
                    <a:stretch>
                      <a:fillRect/>
                    </a:stretch>
                  </pic:blipFill>
                  <pic:spPr bwMode="auto">
                    <a:xfrm>
                      <a:off x="0" y="0"/>
                      <a:ext cx="6381750" cy="1022350"/>
                    </a:xfrm>
                    <a:prstGeom prst="rect">
                      <a:avLst/>
                    </a:prstGeom>
                    <a:noFill/>
                  </pic:spPr>
                </pic:pic>
              </a:graphicData>
            </a:graphic>
          </wp:anchor>
        </w:drawing>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Notes:</w:t>
      </w:r>
    </w:p>
    <w:p>
      <w:pPr>
        <w:spacing w:after="0" w:line="30" w:lineRule="exact"/>
        <w:rPr>
          <w:sz w:val="20"/>
          <w:szCs w:val="20"/>
          <w:color w:val="auto"/>
        </w:rPr>
      </w:pPr>
    </w:p>
    <w:p>
      <w:pPr>
        <w:jc w:val="both"/>
        <w:ind w:left="370" w:hanging="370"/>
        <w:spacing w:after="0" w:line="252" w:lineRule="auto"/>
        <w:tabs>
          <w:tab w:leader="none" w:pos="37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Common/collective trusts and registered investment companies (RICs) such as mutual funds are valued using a Net Asset Value (NAV) provided by the manager of each fund. The NAV is based on the underlying net assets owned by the fund, divided by the number of shares or units outstanding. The fair value of the underlying securities within the fund, which are generally traded on an active market, are valued at the closing price reported on the active market on which those individual securities are traded. For investments not traded on an active market, or for which a quoted price is not publicly available, a variety of unobservable valuation methodologies, including discounted cash flow, market multiple and cost valuation approaches, are employed by the fund manager or independent third party to value investments.</w:t>
      </w:r>
    </w:p>
    <w:p>
      <w:pPr>
        <w:spacing w:after="0" w:line="206" w:lineRule="exact"/>
        <w:rPr>
          <w:sz w:val="20"/>
          <w:szCs w:val="20"/>
          <w:color w:val="auto"/>
        </w:rPr>
      </w:pPr>
    </w:p>
    <w:p>
      <w:pPr>
        <w:jc w:val="both"/>
        <w:ind w:left="10"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Investment Strategy </w:t>
      </w:r>
      <w:r>
        <w:rPr>
          <w:rFonts w:ascii="Times New Roman" w:cs="Times New Roman" w:eastAsia="Times New Roman" w:hAnsi="Times New Roman"/>
          <w:sz w:val="20"/>
          <w:szCs w:val="20"/>
          <w:color w:val="auto"/>
        </w:rPr>
        <w:t>The Company has historically employed a total return investment approach, whereby a mix of fixed-income, equities and real estate investments are used to maximize the long-term return of plan assets subject to a prudent level of risk. The risk tolerance is established for each plan through a careful consideration of plan liabilities, plan funded status and corporate financial condition. When considering assets for investment, the Company considers the expected rate of return and the risk of return, among others, of each potential investment. Investment risk is measured and monitored on an ongoing basis through regular performance reporting, investment manager reviews, actuarial liability measurements and periodic investment strategy reviews.</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270"/>
          </w:cols>
          <w:pgMar w:left="990" w:top="220" w:right="98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Postemployment Benefits </w:t>
      </w:r>
      <w:r>
        <w:rPr>
          <w:rFonts w:ascii="Times New Roman" w:cs="Times New Roman" w:eastAsia="Times New Roman" w:hAnsi="Times New Roman"/>
          <w:sz w:val="20"/>
          <w:szCs w:val="20"/>
          <w:color w:val="auto"/>
        </w:rPr>
        <w:t>Reconciliation of the beginning and ending balances of the benefit obligation for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postemployment plan was: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Postemployment Benefits</w:t>
            </w:r>
          </w:p>
        </w:tc>
      </w:tr>
      <w:tr>
        <w:trPr>
          <w:trHeight w:val="280"/>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5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Change in benefit obligation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 as of January 1</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Benefits paid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03"/>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Actuarial (gain) loss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6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 as of December 31</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0"/>
        </w:trPr>
        <w:tc>
          <w:tcPr>
            <w:tcW w:w="7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543675" cy="138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6543675" cy="138430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funded status and the reconciliation of the unfunded status to amounts recognized in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Balance Sheets and in Accumulated other comprehensive loss at December 31:</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Postemployment Benefits</w:t>
            </w:r>
          </w:p>
        </w:tc>
        <w:tc>
          <w:tcPr>
            <w:tcW w:w="0" w:type="dxa"/>
            <w:vAlign w:val="bottom"/>
          </w:tcPr>
          <w:p>
            <w:pPr>
              <w:spacing w:after="0"/>
              <w:rPr>
                <w:sz w:val="1"/>
                <w:szCs w:val="1"/>
                <w:color w:val="auto"/>
              </w:rPr>
            </w:pPr>
          </w:p>
        </w:tc>
      </w:tr>
      <w:tr>
        <w:trPr>
          <w:trHeight w:val="280"/>
        </w:trPr>
        <w:tc>
          <w:tcPr>
            <w:tcW w:w="7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6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Amounts recognized in the Consolidated Balance Sheets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520" w:type="dxa"/>
            <w:vAlign w:val="bottom"/>
            <w:vMerge w:val="continue"/>
          </w:tcPr>
          <w:p>
            <w:pPr>
              <w:spacing w:after="0"/>
              <w:rPr>
                <w:sz w:val="22"/>
                <w:szCs w:val="22"/>
                <w:color w:val="auto"/>
              </w:rPr>
            </w:pPr>
          </w:p>
        </w:tc>
        <w:tc>
          <w:tcPr>
            <w:tcW w:w="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30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303"/>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6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Net amounts recognized</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Amounts recognized in Accumulated other comprehensive 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520" w:type="dxa"/>
            <w:vAlign w:val="bottom"/>
            <w:vMerge w:val="continue"/>
          </w:tcPr>
          <w:p>
            <w:pPr>
              <w:spacing w:after="0"/>
              <w:rPr>
                <w:sz w:val="22"/>
                <w:szCs w:val="22"/>
                <w:color w:val="auto"/>
              </w:rPr>
            </w:pPr>
          </w:p>
        </w:tc>
        <w:tc>
          <w:tcPr>
            <w:tcW w:w="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Net actuarial (gain) loss</w:t>
            </w:r>
          </w:p>
        </w:tc>
        <w:tc>
          <w:tcPr>
            <w:tcW w:w="30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303"/>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prior service cost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0"/>
        </w:trPr>
        <w:tc>
          <w:tcPr>
            <w:tcW w:w="75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543675" cy="1765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6">
                      <a:extLst>
                        <a:ext uri="{28A0092B-C50C-407E-A947-70E740481C1C}"/>
                      </a:extLst>
                    </a:blip>
                    <a:srcRect/>
                    <a:stretch>
                      <a:fillRect/>
                    </a:stretch>
                  </pic:blipFill>
                  <pic:spPr bwMode="auto">
                    <a:xfrm>
                      <a:off x="0" y="0"/>
                      <a:ext cx="6543675" cy="1765300"/>
                    </a:xfrm>
                    <a:prstGeom prst="rect">
                      <a:avLst/>
                    </a:prstGeom>
                    <a:noFill/>
                  </pic:spPr>
                </pic:pic>
              </a:graphicData>
            </a:graphic>
          </wp:anchor>
        </w:drawing>
      </w:r>
    </w:p>
    <w:p>
      <w:pPr>
        <w:sectPr>
          <w:pgSz w:w="12240" w:h="15840" w:orient="portrait"/>
          <w:cols w:equalWidth="0" w:num="1">
            <w:col w:w="10240"/>
          </w:cols>
          <w:pgMar w:left="1000" w:top="22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240"/>
          </w:cols>
          <w:pgMar w:left="1000" w:top="220" w:right="100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net periodic benefit cost of the postemployment plan for the years ended December 31 was: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Postemployment Benefits</w:t>
            </w:r>
          </w:p>
        </w:tc>
        <w:tc>
          <w:tcPr>
            <w:tcW w:w="980" w:type="dxa"/>
            <w:vAlign w:val="bottom"/>
            <w:tcBorders>
              <w:bottom w:val="single" w:sz="8" w:color="auto"/>
            </w:tcBorders>
          </w:tcPr>
          <w:p>
            <w:pPr>
              <w:spacing w:after="0"/>
              <w:rPr>
                <w:sz w:val="18"/>
                <w:szCs w:val="18"/>
                <w:color w:val="auto"/>
              </w:rPr>
            </w:pPr>
          </w:p>
        </w:tc>
      </w:tr>
      <w:tr>
        <w:trPr>
          <w:trHeight w:val="220"/>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4"/>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85"/>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5"/>
        </w:trPr>
        <w:tc>
          <w:tcPr>
            <w:tcW w:w="61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Prior service benefit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6"/>
        </w:trPr>
        <w:tc>
          <w:tcPr>
            <w:tcW w:w="61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Actuarial gain</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45"/>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Net periodic benefit cost</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4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r>
      <w:tr>
        <w:trPr>
          <w:trHeight w:val="20"/>
        </w:trPr>
        <w:tc>
          <w:tcPr>
            <w:tcW w:w="6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-1116965</wp:posOffset>
            </wp:positionV>
            <wp:extent cx="6543675" cy="11366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6543675" cy="1136650"/>
                    </a:xfrm>
                    <a:prstGeom prst="rect">
                      <a:avLst/>
                    </a:prstGeom>
                    <a:noFill/>
                  </pic:spPr>
                </pic:pic>
              </a:graphicData>
            </a:graphic>
          </wp:anchor>
        </w:drawing>
      </w:r>
    </w:p>
    <w:p>
      <w:pPr>
        <w:spacing w:after="0" w:line="2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weighted average assumptions utilized in accounting for postemployment benefit obligations as of December 31 and for postemployment benefit costs for the years ended December 31 were:</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Postemployment Benefit</w:t>
            </w:r>
          </w:p>
        </w:tc>
        <w:tc>
          <w:tcPr>
            <w:tcW w:w="80" w:type="dxa"/>
            <w:vAlign w:val="bottom"/>
          </w:tcPr>
          <w:p>
            <w:pPr>
              <w:spacing w:after="0"/>
              <w:rPr>
                <w:sz w:val="16"/>
                <w:szCs w:val="16"/>
                <w:color w:val="auto"/>
              </w:rPr>
            </w:pPr>
          </w:p>
        </w:tc>
        <w:tc>
          <w:tcPr>
            <w:tcW w:w="312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Postemployment Benefit Costs</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18"/>
                <w:szCs w:val="18"/>
                <w:color w:val="auto"/>
              </w:rPr>
            </w:pPr>
          </w:p>
        </w:tc>
        <w:tc>
          <w:tcPr>
            <w:tcW w:w="204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80" w:type="dxa"/>
            <w:vAlign w:val="bottom"/>
          </w:tcPr>
          <w:p>
            <w:pPr>
              <w:spacing w:after="0"/>
              <w:rPr>
                <w:sz w:val="18"/>
                <w:szCs w:val="18"/>
                <w:color w:val="auto"/>
              </w:rPr>
            </w:pPr>
          </w:p>
        </w:tc>
        <w:tc>
          <w:tcPr>
            <w:tcW w:w="31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4900" w:type="dxa"/>
            <w:vAlign w:val="bottom"/>
          </w:tcPr>
          <w:p>
            <w:pPr>
              <w:spacing w:after="0"/>
              <w:rPr>
                <w:sz w:val="24"/>
                <w:szCs w:val="24"/>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10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7"/>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 for severance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5.1 %</w:t>
            </w:r>
          </w:p>
        </w:tc>
        <w:tc>
          <w:tcPr>
            <w:tcW w:w="0" w:type="dxa"/>
            <w:vAlign w:val="bottom"/>
          </w:tcPr>
          <w:p>
            <w:pPr>
              <w:spacing w:after="0"/>
              <w:rPr>
                <w:sz w:val="1"/>
                <w:szCs w:val="1"/>
                <w:color w:val="auto"/>
              </w:rPr>
            </w:pPr>
          </w:p>
        </w:tc>
      </w:tr>
      <w:tr>
        <w:trPr>
          <w:trHeight w:val="300"/>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Salary increase rate</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3.1 %</w:t>
            </w:r>
          </w:p>
        </w:tc>
        <w:tc>
          <w:tcPr>
            <w:tcW w:w="0" w:type="dxa"/>
            <w:vAlign w:val="bottom"/>
          </w:tcPr>
          <w:p>
            <w:pPr>
              <w:spacing w:after="0"/>
              <w:rPr>
                <w:sz w:val="1"/>
                <w:szCs w:val="1"/>
                <w:color w:val="auto"/>
              </w:rPr>
            </w:pPr>
          </w:p>
        </w:tc>
      </w:tr>
      <w:tr>
        <w:trPr>
          <w:trHeight w:val="300"/>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Involuntary turnover rate</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3.8 %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-575310</wp:posOffset>
            </wp:positionV>
            <wp:extent cx="6502400" cy="596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6502400" cy="59690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Related to Employee Benefit Plans</w:t>
      </w:r>
    </w:p>
    <w:p>
      <w:pPr>
        <w:spacing w:after="0" w:line="250"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Cash Contributions </w:t>
      </w:r>
      <w:r>
        <w:rPr>
          <w:rFonts w:ascii="Times New Roman" w:cs="Times New Roman" w:eastAsia="Times New Roman" w:hAnsi="Times New Roman"/>
          <w:sz w:val="20"/>
          <w:szCs w:val="20"/>
          <w:color w:val="auto"/>
        </w:rPr>
        <w:t>The Company plans to contribute approximately $14 million to the international pension plans in 2026.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also plans to make contributions of approximately $19 million to the postemployment plan in 2026.</w:t>
      </w:r>
    </w:p>
    <w:p>
      <w:pPr>
        <w:spacing w:after="0" w:line="17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Estimated Future Benefit Payments </w:t>
      </w:r>
      <w:r>
        <w:rPr>
          <w:rFonts w:ascii="Times New Roman" w:cs="Times New Roman" w:eastAsia="Times New Roman" w:hAnsi="Times New Roman"/>
          <w:sz w:val="20"/>
          <w:szCs w:val="20"/>
          <w:color w:val="auto"/>
        </w:rPr>
        <w:t>The Company expects to make the following benefit payments reflecting past and future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service from its pension and postemployment plans: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8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International Pension</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Postemployment</w:t>
            </w:r>
          </w:p>
        </w:tc>
        <w:tc>
          <w:tcPr>
            <w:tcW w:w="0" w:type="dxa"/>
            <w:vAlign w:val="bottom"/>
          </w:tcPr>
          <w:p>
            <w:pPr>
              <w:spacing w:after="0"/>
              <w:rPr>
                <w:sz w:val="1"/>
                <w:szCs w:val="1"/>
                <w:color w:val="auto"/>
              </w:rPr>
            </w:pPr>
          </w:p>
        </w:tc>
      </w:tr>
      <w:tr>
        <w:trPr>
          <w:trHeight w:val="214"/>
        </w:trPr>
        <w:tc>
          <w:tcPr>
            <w:tcW w:w="674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0" w:type="dxa"/>
            <w:vAlign w:val="bottom"/>
          </w:tcPr>
          <w:p>
            <w:pPr>
              <w:spacing w:after="0"/>
              <w:rPr>
                <w:sz w:val="1"/>
                <w:szCs w:val="1"/>
                <w:color w:val="auto"/>
              </w:rPr>
            </w:pPr>
          </w:p>
        </w:tc>
      </w:tr>
      <w:tr>
        <w:trPr>
          <w:trHeight w:val="277"/>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Year</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30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30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0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0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0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2031-2035</w:t>
            </w:r>
          </w:p>
        </w:tc>
        <w:tc>
          <w:tcPr>
            <w:tcW w:w="360" w:type="dxa"/>
            <w:vAlign w:val="bottom"/>
          </w:tcPr>
          <w:p>
            <w:pPr>
              <w:jc w:val="right"/>
              <w:ind w:right="123"/>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-1337310</wp:posOffset>
            </wp:positionV>
            <wp:extent cx="6530975" cy="13589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6530975" cy="1358900"/>
                    </a:xfrm>
                    <a:prstGeom prst="rect">
                      <a:avLst/>
                    </a:prstGeom>
                    <a:noFill/>
                  </pic:spPr>
                </pic:pic>
              </a:graphicData>
            </a:graphic>
          </wp:anchor>
        </w:drawing>
      </w:r>
    </w:p>
    <w:p>
      <w:pPr>
        <w:spacing w:after="0" w:line="2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Savings Plans </w:t>
      </w:r>
      <w:r>
        <w:rPr>
          <w:rFonts w:ascii="Times New Roman" w:cs="Times New Roman" w:eastAsia="Times New Roman" w:hAnsi="Times New Roman"/>
          <w:sz w:val="20"/>
          <w:szCs w:val="20"/>
          <w:color w:val="auto"/>
        </w:rPr>
        <w:t>U.S. employees and many international employees participate in defined contribution savings plans. These plans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generally provide either a specified percent of pay or a matching contribution on participating employees’ voluntary elections. The Company’s matching contributions typically are subject to a maximum percentage or level of compensation. Employee contributions can be made pre-tax, after-tax or a combination thereof. The expense under the U.S. plan was approximately $17 million in 2025, $21 million in 2024, and $22 million in 2023. The expense under international and subsidiary savings plans was $15 million in 2025, $14 million in 2024, and $11 million in 2023.</w:t>
      </w:r>
    </w:p>
    <w:p>
      <w:pPr>
        <w:spacing w:after="0" w:line="20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Amounts to be Recognized </w:t>
      </w:r>
      <w:r>
        <w:rPr>
          <w:rFonts w:ascii="Times New Roman" w:cs="Times New Roman" w:eastAsia="Times New Roman" w:hAnsi="Times New Roman"/>
          <w:sz w:val="20"/>
          <w:szCs w:val="20"/>
          <w:color w:val="auto"/>
        </w:rPr>
        <w:t>The amounts in Accumulated other comprehensive loss that are expected to be recognized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components of net periodic benefit cost (income) during 2026 are less than $1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AND CONTINGENCIES</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the normal course of business, the Company is subject to various proceedings, lawsuits, claims and other matters, including, for example, those that relate to the environment and health and safety, labor and employment, employee benefits, import/ export compliance, patents or other intellectual property, data privacy and security, product liability, commercial disputes and regulatory compliance, among others. Additionally, the Company is subject to diverse and complex laws and regulations,</w:t>
      </w:r>
    </w:p>
    <w:p>
      <w:pPr>
        <w:sectPr>
          <w:pgSz w:w="12240" w:h="15840" w:orient="portrait"/>
          <w:cols w:equalWidth="0" w:num="1">
            <w:col w:w="10240"/>
          </w:cols>
          <w:pgMar w:left="1000" w:top="220" w:right="1000" w:bottom="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240"/>
          </w:cols>
          <w:pgMar w:left="1000" w:top="220" w:right="100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as well as changes in accounting standards, taxation requirements, and federal securities laws among others, may create a substantial burden on, and substantially increase costs to the Company or could have an impact on the Company’s future operating results. The Company has reflected all liabilities when a loss is considered probable and reasonably estimable in the Consolidated Financial Statements. We do not believe there is a reasonable possibility that losses exceeding amounts already recognized have been incurred, but there can be no assurances that the amounts required to satisfy alleged liabilities from such matters will not impact future operating results. Other than as stated below, the Company does not currently expect to incur material costs related to such matters. However, there can be no assurances that the actual amounts required to satisfy alleged liabilities from various lawsuits, claims, legal proceedings and other matters, including, but not limited to the Kalamazoo River environmental matter and other matters discussed above and below, and to comply with applicable laws and regulations, will not exceed the amounts reflected in the Company’s Consolidated Financial Statements or will not have a material adverse effect on our consolidated results of operations, capital expenditures, competitive position, financial condition or cash flows.</w:t>
      </w:r>
    </w:p>
    <w:p>
      <w:pPr>
        <w:spacing w:after="0" w:line="21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Other Litigation </w:t>
      </w:r>
      <w:r>
        <w:rPr>
          <w:rFonts w:ascii="Times New Roman" w:cs="Times New Roman" w:eastAsia="Times New Roman" w:hAnsi="Times New Roman"/>
          <w:sz w:val="20"/>
          <w:szCs w:val="20"/>
          <w:color w:val="auto"/>
        </w:rPr>
        <w:t>In November 2015, several participants and beneficiaries in five “nonqualified” deferred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retirement plans sponsored by the Company (collectively, the “Plans”) filed a putative class action lawsuit against the Company and other named defendants. The plaintiffs alleged, among other things, that the Company breached the terms of the Plan agreements when, upon termination of the Plans, the Company paid lump sum payments based on mortality tables and actuarial calculations. In September 2017, the court certified a class.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On February 6, 2024, the court entered summary judgment in favor of the plaintiffs, finding that the Company breached the terms of the Plans when it paid the lump sums in lieu of actuarially equivalent replacement life annuities and ordered that the Company provide class members the amount reflecting the difference between the lump sums they received and the cost of the replacement life annuities. The court further ordered the parties to brief as to what the appropriate relief should have been based on the benefits due to each Plan participant (the “Requested Relief Order”). On April 16, 2024, the Company filed its position on the Requested Relief Order.</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June 10, 2024, the Court ruled against the Company’s position to the Requested Relief Order, entered a final judgment against the Company, and ordered the Company to calculate the “benefits due” to the Plan participants, including pre-judgment interest, based on the sum that would have been sufficient to allow each participant to purchase a replacement annuity using discount rates prescribed by the Pension Benefit Guaranty Corporation in effect as of the February 25, 2013 termination date.</w:t>
      </w:r>
    </w:p>
    <w:p>
      <w:pPr>
        <w:spacing w:after="0" w:line="20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On July 2, 2024, the Company filed a notice of appeal and a $45 million supersedeas bond to stay execution pending appeal. The appellate court heard oral arguments on August 12, 2025, and on August 26, 2025, the appellate court affirmed the decision of the district court. The Company’s petition for rehearing en banc was denied. In February 2026, the matter was remanded back to the district court for further proceedings to finalize the amount owed to plaintiffs. Any award issued following remand to the district court is subject to an indemnity obligation by NCR Atleos to contribute 50% of any award. The Company also intends to seek reimbursement of any final award from its insurance carriers to the extent of its coverage under applicable fiduciary liability insurance policies. As of December 31, 2025, the Company has recorded an accrual of $45 million, as well as a receivable from NCR Atleos for $22 million, in connection with this matter.</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Environmental Matters </w:t>
      </w:r>
      <w:r>
        <w:rPr>
          <w:rFonts w:ascii="Times New Roman" w:cs="Times New Roman" w:eastAsia="Times New Roman" w:hAnsi="Times New Roman"/>
          <w:sz w:val="20"/>
          <w:szCs w:val="20"/>
          <w:color w:val="auto"/>
        </w:rPr>
        <w:t>The Company’s facilities and operations are subject to a wide range of environmental protection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Company has investigatory and remedial activities underway at a number of facilities that it currently owns or operates, or formerly owned or operated, to comply, or to determine compliance, with such laws. Also, the Company has been identified, either by a government agency or by a private party seeking contribution to site clean-up costs, as a potentially responsible party (“PRP”) at a number of sites pursuant to various state and federal laws, including the Federal Water Pollution Control Act, the Comprehensive Environmental Response, Compensation and Liability Act (“CERCLA”) and comparable state statutes. Following the Spin-Off, the Company retains the responsibility to manage the identified environmental liabilities and remediations, subject however to an indemnity obligation by NCR Atleos to contribute 50% of the costs of certain environmental liabilities after an annual $15 million funding threshold is met. Other than the Kalamazoo River matter discussed below, we currently do not anticipate material expenses and liabilities from these environmental matters.</w:t>
      </w:r>
    </w:p>
    <w:p>
      <w:pPr>
        <w:spacing w:after="0" w:line="20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Fox River </w:t>
      </w:r>
      <w:r>
        <w:rPr>
          <w:rFonts w:ascii="Times New Roman" w:cs="Times New Roman" w:eastAsia="Times New Roman" w:hAnsi="Times New Roman"/>
          <w:sz w:val="20"/>
          <w:szCs w:val="20"/>
          <w:color w:val="auto"/>
        </w:rPr>
        <w:t>The Company was one of eight entities that was formally notified by governmental and other entities that it was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PRP for environmental claims (under CERCLA and other statutes) arising out of the presence of polychlorinated biphenyls (“PCBs”) in sediments in the lower Fox River and in the Bay of Green Bay in Wisconsin. The Company was identified as a PRP because of alleged PCB discharges from two carbonless copy paper manufacturing facilities it previously owned, which</w:t>
      </w:r>
    </w:p>
    <w:p>
      <w:pPr>
        <w:sectPr>
          <w:pgSz w:w="12240" w:h="15840" w:orient="portrait"/>
          <w:cols w:equalWidth="0" w:num="1">
            <w:col w:w="10260"/>
          </w:cols>
          <w:pgMar w:left="1000" w:top="220" w:right="980" w:bottom="0" w:gutter="0" w:footer="0" w:header="0"/>
        </w:sect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260"/>
          </w:cols>
          <w:pgMar w:left="1000" w:top="220" w:right="980" w:bottom="0" w:gutter="0" w:footer="0" w:header="0"/>
          <w:type w:val="continuous"/>
        </w:sectPr>
      </w:pPr>
    </w:p>
    <w:bookmarkStart w:id="103" w:name="page104"/>
    <w:bookmarkEnd w:id="103"/>
    <w:p>
      <w:pPr>
        <w:ind w:left="1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0" w:right="20"/>
        <w:spacing w:after="0" w:line="260" w:lineRule="auto"/>
        <w:rPr>
          <w:sz w:val="20"/>
          <w:szCs w:val="20"/>
          <w:color w:val="auto"/>
        </w:rPr>
      </w:pPr>
      <w:r>
        <w:rPr>
          <w:rFonts w:ascii="Times New Roman" w:cs="Times New Roman" w:eastAsia="Times New Roman" w:hAnsi="Times New Roman"/>
          <w:sz w:val="20"/>
          <w:szCs w:val="20"/>
          <w:color w:val="auto"/>
        </w:rPr>
        <w:t>were located along the Fox River, and carbonless copy paper “broke” the Company allegedly sold to other mills as raw material. In 2017, the Company entered into a Consent Decree with the federal and state governments for the clean-up of the Fox River, which was approved on August 22, 2017 by the federal district court in Wisconsin presiding over this matter. The Consent Decree resolved the Company’s disputes with the enforcement agencies as well as the other PRPs.</w:t>
      </w:r>
    </w:p>
    <w:p>
      <w:pPr>
        <w:spacing w:after="0" w:line="203" w:lineRule="exact"/>
        <w:rPr>
          <w:sz w:val="20"/>
          <w:szCs w:val="20"/>
          <w:color w:val="auto"/>
        </w:rPr>
      </w:pPr>
    </w:p>
    <w:p>
      <w:pPr>
        <w:jc w:val="both"/>
        <w:ind w:left="10" w:right="20"/>
        <w:spacing w:after="0" w:line="266" w:lineRule="auto"/>
        <w:rPr>
          <w:sz w:val="20"/>
          <w:szCs w:val="20"/>
          <w:color w:val="auto"/>
        </w:rPr>
      </w:pPr>
      <w:r>
        <w:rPr>
          <w:rFonts w:ascii="Times New Roman" w:cs="Times New Roman" w:eastAsia="Times New Roman" w:hAnsi="Times New Roman"/>
          <w:sz w:val="20"/>
          <w:szCs w:val="20"/>
          <w:color w:val="auto"/>
        </w:rPr>
        <w:t>All litigation relating to the contribution and enforcement of remediation obligations on the Fox River has been concluded. On October 3, 2022, the Environmental Protection Agency issued the Company a Certificate of Completion certifying that all of the Company’s remedial obligations under the Consent Decree have been completed.</w:t>
      </w:r>
    </w:p>
    <w:p>
      <w:pPr>
        <w:spacing w:after="0" w:line="195" w:lineRule="exact"/>
        <w:rPr>
          <w:sz w:val="20"/>
          <w:szCs w:val="20"/>
          <w:color w:val="auto"/>
        </w:rPr>
      </w:pPr>
    </w:p>
    <w:p>
      <w:pPr>
        <w:jc w:val="both"/>
        <w:ind w:left="10" w:right="20"/>
        <w:spacing w:after="0" w:line="253" w:lineRule="auto"/>
        <w:rPr>
          <w:sz w:val="20"/>
          <w:szCs w:val="20"/>
          <w:color w:val="auto"/>
        </w:rPr>
      </w:pPr>
      <w:r>
        <w:rPr>
          <w:rFonts w:ascii="Times New Roman" w:cs="Times New Roman" w:eastAsia="Times New Roman" w:hAnsi="Times New Roman"/>
          <w:sz w:val="20"/>
          <w:szCs w:val="20"/>
          <w:color w:val="auto"/>
        </w:rPr>
        <w:t>The cost of the Fox River remediation has been shared with three parties (Appvion, Inc. having fully satisfied its obligations in 2016 and is now bankrupt), B.A.T. Industries p.l.c. (“BAT”) as co-obligor, and AT&amp;T Corp. (“AT&amp;T”) and Nokia (as the successor to Lucent Technologies and Alcatel-Lucent USA) as indemnitors. Under a 1998 Cost Sharing Agreement and subsequent 2005 arbitration award (collectively, the “Cost Sharing Agreement”), from 2008 through 2014, BAT paid 60% of the cost of the Fox River clean-up and natural resource damages. Pursuant to a September 30, 2014 Funding Agreement (the “Funding Agreement”), BAT funded 50% of the Company’s Fox River remediation costs from October 1, 2014 forward; the Funding Agreement also provides the Company contractual avenues for a future payment of, via direct and third-party sources,</w:t>
      </w:r>
    </w:p>
    <w:p>
      <w:pPr>
        <w:spacing w:after="0" w:line="3" w:lineRule="exact"/>
        <w:rPr>
          <w:sz w:val="20"/>
          <w:szCs w:val="20"/>
          <w:color w:val="auto"/>
        </w:rPr>
      </w:pPr>
    </w:p>
    <w:p>
      <w:pPr>
        <w:jc w:val="both"/>
        <w:ind w:left="10" w:right="20" w:hanging="10"/>
        <w:spacing w:after="0" w:line="251" w:lineRule="auto"/>
        <w:tabs>
          <w:tab w:leader="none" w:pos="30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difference between BAT’s 60% obligation under the Cost Sharing Agreement on the one hand and their ongoing (since September 2014) 50% payments under the Funding Agreement on the other, as well as (2) the difference between the amount the Company received under the Funding Agreement and the amount owed to it under the Cost Sharing Agreement for the period from April 2012 through September 2014 (collectively, the “Funding Agreement Receivable”). Pursuant to a June 12, 2015 Letter Agreement, the Company’s contractual avenue for direct payment by BAT was effectively stayed pending completion of other unrelated lawsuits by BAT against third-parties. As of December 31, 2025 and 2024, the Funding Agreement Receivable was approximately $54 million and was included in Other assets in the Consolidated Balance Sheets. The timing of collection of sums related to the receivable is uncertain and is subject and pursuant to the terms of the Funding Agreement and related agreements. This receivable is not taken into account in calculating the Company’s Fox River remaining reserve.</w:t>
      </w:r>
    </w:p>
    <w:p>
      <w:pPr>
        <w:spacing w:after="0" w:line="215" w:lineRule="exact"/>
        <w:rPr>
          <w:sz w:val="20"/>
          <w:szCs w:val="20"/>
          <w:color w:val="auto"/>
        </w:rPr>
      </w:pPr>
    </w:p>
    <w:p>
      <w:pPr>
        <w:jc w:val="both"/>
        <w:ind w:left="10" w:right="20"/>
        <w:spacing w:after="0" w:line="254" w:lineRule="auto"/>
        <w:rPr>
          <w:sz w:val="20"/>
          <w:szCs w:val="20"/>
          <w:color w:val="auto"/>
        </w:rPr>
      </w:pPr>
      <w:r>
        <w:rPr>
          <w:rFonts w:ascii="Times New Roman" w:cs="Times New Roman" w:eastAsia="Times New Roman" w:hAnsi="Times New Roman"/>
          <w:sz w:val="20"/>
          <w:szCs w:val="20"/>
          <w:color w:val="auto"/>
        </w:rPr>
        <w:t>Additionally, under a 1996 Divestiture Agreement, the Company, AT&amp;T and Nokia have mutual several (not joint) responsibility for indemnifying each other for certain environmental matters, including the Fox River and the Kalamazoo River discussed below, after defined dollar expenditures are met. AT&amp;T and Nokia have been reimbursing the Company for certain portions of the amounts paid by the Company for the Fox River matter over the defined threshold for Fox River subject to certain offsets for insurance recoveries and net tax benefits (the “Divestiture Agreement Offsets”), if any. The Divestiture Agreement governs certain aspects of AT&amp;T’s divestiture of the Company and of what was then known as Lucent Technologies. Those companies have generally made the payments requested of them by the Company on an ongoing basis. The Company, AT&amp;T and Nokia are currently discussing a final reconciliation of the Divestiture Agreement Offsets, but the timing for a final reconciliation is uncertain.</w:t>
      </w:r>
    </w:p>
    <w:p>
      <w:pPr>
        <w:spacing w:after="0" w:line="209"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The final reconciliation of the Funding Agreement Receivable and the Divestiture Agreement Offsets could result in additional expenditures and liabilities for the Company that could be material. As of December 31, 2025, we have no remaining liability for remedial obligations for the Fox River matter. As of December 31, 2025 and 2024, the liability subject to final reconciliation with indemnitors under the Divestiture Agreement was approximately $23 million, respectively.</w:t>
      </w:r>
    </w:p>
    <w:p>
      <w:pPr>
        <w:spacing w:after="0" w:line="200" w:lineRule="exact"/>
        <w:rPr>
          <w:sz w:val="20"/>
          <w:szCs w:val="20"/>
          <w:color w:val="auto"/>
        </w:rPr>
      </w:pPr>
    </w:p>
    <w:p>
      <w:pPr>
        <w:jc w:val="both"/>
        <w:ind w:left="1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Kalamazoo River </w:t>
      </w:r>
      <w:r>
        <w:rPr>
          <w:rFonts w:ascii="Times New Roman" w:cs="Times New Roman" w:eastAsia="Times New Roman" w:hAnsi="Times New Roman"/>
          <w:sz w:val="20"/>
          <w:szCs w:val="20"/>
          <w:color w:val="auto"/>
        </w:rPr>
        <w:t>In November 2010, The United States Environmental Protection Agency (“USEPA”) issued a “general notice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letter” to the Company with respect to the Allied Paper, Inc./Portage Creek/Kalamazoo River Superfund Site (“Kalamazoo River site”) in Michigan. USEPA asserted that the site is contaminated by various substances, primarily PCBs, as a result of discharges by various paper mills located along the river. USEPA did not claim that the Company made direct discharges into the Kalamazoo River, and the Company never had facilities at or near the Kalamazoo River site, but USEPA indicated that “NCR may be liable under Section 107 of CERCLA ... as an arranger, who by contract or agreement, arranged for the disposal, treatment and/or transportation of hazardous substances at the Site.” USEPA stated that it “may issue special notice letters to [NCR] and other PRPs for future RI/FS [remedial investigation / feasibility studies] and RD/RA [remedial design / remedial action] negotiations.”</w:t>
      </w:r>
    </w:p>
    <w:p>
      <w:pPr>
        <w:spacing w:after="0" w:line="213" w:lineRule="exact"/>
        <w:rPr>
          <w:sz w:val="20"/>
          <w:szCs w:val="20"/>
          <w:color w:val="auto"/>
        </w:rPr>
      </w:pPr>
    </w:p>
    <w:p>
      <w:pPr>
        <w:jc w:val="both"/>
        <w:ind w:left="10" w:right="20"/>
        <w:spacing w:after="0" w:line="258" w:lineRule="auto"/>
        <w:rPr>
          <w:sz w:val="20"/>
          <w:szCs w:val="20"/>
          <w:color w:val="auto"/>
        </w:rPr>
      </w:pPr>
      <w:r>
        <w:rPr>
          <w:rFonts w:ascii="Times New Roman" w:cs="Times New Roman" w:eastAsia="Times New Roman" w:hAnsi="Times New Roman"/>
          <w:sz w:val="20"/>
          <w:szCs w:val="20"/>
          <w:color w:val="auto"/>
        </w:rPr>
        <w:t>In December 2010, the Company, along with two other defendants, was sued in federal court by three Georgia-Pacific (“GP”) affiliate corporations in a private-party contribution and cost recovery action for alleged pollution at the Kalamazoo River site. On September 26, 2013, the court issued a decision that held the Company was liable as an “arranger” as of at least March 1969. (PCB-containing carbonless copy paper was produced from approximately 1954 to April 1971, and the majority of contamination at the Kalamazoo River site had occurred prior to 1969). In a ruling following a second trial on the allocation of</w:t>
      </w:r>
    </w:p>
    <w:p>
      <w:pPr>
        <w:sectPr>
          <w:pgSz w:w="12240" w:h="15840" w:orient="portrait"/>
          <w:cols w:equalWidth="0" w:num="1">
            <w:col w:w="10270"/>
          </w:cols>
          <w:pgMar w:left="990" w:top="220" w:right="98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270"/>
          </w:cols>
          <w:pgMar w:left="990" w:top="220" w:right="98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liability issued on March 29, 2018, the court fixed the past cost amount at approximately $50 million (plus interest to be determined) and the Company and GP were each assigned a 40% share of those costs, and the other two companies were assigned 15% and 5% as their allocations. The court entered final judgment in the case on June 19, 2018, in which it indicated that it would not allocate future costs, but would enter a declaratory judgment that the four companies together had responsibility for future costs, in amounts and shares to be determined.</w:t>
      </w:r>
    </w:p>
    <w:p>
      <w:pPr>
        <w:spacing w:after="0" w:line="20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In July 2018, the Company appealed to the United States Court of Appeals for the Sixth Circuit both the 2013 court decision and the 2018 court decision on various legal grounds. The Company filed a bond to stay execution of the judgment pending appeal and execution of the judgment was stayed until the Company filed its dismissal of the appeal on December 31, 2020 pursuant to the Consent Decree noted below.</w:t>
      </w:r>
    </w:p>
    <w:p>
      <w:pPr>
        <w:spacing w:after="0" w:line="20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During the pendency of the Sixth Circuit stay, the Company negotiated a settlement of the Kalamazoo River matter with the USEPA and other government agencies having oversight over the river.</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December 5, 2019, the Company entered into a Consent Decree with the USEPA and other government agencies having oversight over the Kalamazoo River and the District Court having jurisdiction over this matter approved the Consent Decree later that month. The Consent Decree requires the Company to pay GP a 40% share of past costs, to pay the USEPA and state agencies their past and future administrative costs, and take responsibility for the remediation of a portion, but not all, of the Kalamazoo River. The Consent Decree further required the Company to dismiss the pending Sixth Circuit appeal. The Consent Decree provides the Company protection from other potentially responsible parties, including GP, seeking contribution for their costs associated with the clean-up anywhere on the Kalamazoo River, thereby resolving the allocation of future costs left unresolved by prior litigation.</w:t>
      </w:r>
    </w:p>
    <w:p>
      <w:pPr>
        <w:spacing w:after="0" w:line="21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Company believes it has meritorious claims against BAT under the Cost Sharing Agreement, discussed above, for the Kalamazoo River remediation expenses as a so-called “future site.” To date, BAT disputes that the Kalamazoo River is a “future site.” In February 2023, the Company filed an action against BAT in the Southern District of New York seeking a declaration that the Kalamazoo River is indeed a “future site” under the Cost Sharing Agreement. In June 2023, BAT filed an answer asserting counterclaims in the proceedings. On September 14, 2024, the Court entered an opinion stating that the Kalamazoo River is a “future site” within the meaning of the Cost Sharing Agreement. The case remains pending with respect to BAT’s remaining counterclaims and affirmative defenses. In December 2022, the contractual threshold set forth in the 1996 Divestiture Agreement for the Kalamazoo River matter was met and as a result the Company also has indemnity or reimbursement claims against AT&amp;T and Nokia. AT&amp;T and Nokia are currently disputing the calculation of that threshold (not the indemnity obligation), and AT&amp;T has withheld certain of its indemnification payments in connection with the dispute. In February 2026, the Company filed an action for preliminary injunction against AT&amp;T in the Southern District of New York seeking an order to compel AT&amp;T’s compliance with the payment obligations under the 1996 Divestiture Agreement.</w:t>
      </w:r>
    </w:p>
    <w:p>
      <w:pPr>
        <w:spacing w:after="0" w:line="2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November 2023, the USEPA issued a conditional approval for a work plan to remediate one area of the Kalamazoo River (referred to by USEPA as Area 4) for which the Company has remediation responsibility. The conditional approval provided the Company with sufficient information to estimate the cost of the first phase of remediation for this area of the river and necessitated an increase in the Kalamazoo reserve. Subsequently, USEPA provided further clarification about the conditions with respect to completing the second phase of the work plan that could substantially increase the costs of remediation. The Company does not believe the scope of work for this second phase is its responsibility under the Consent Decree or the National Contingency Plan. In March 2024, the Company filed a Notice of Dispute with the USEPA objecting to the scope of work for Area 4 as being inconsistent with the National Contingency Plan and contrary to the requirements of the Consent Decree. In June 2024, the Company reached a tentative agreement with the USEPA that will satisfactorily address the Company’s cost concerns and in October 2024, the Company submitted a work plan to the USEPA for approval. In connection with the submittal of the work plan, an updated engineering estimate was developed, which necessitated an increase in the Kalamazoo reserve. On August 18, 2025, the USEPA approved the work plan “with modifications” and the Company responded to those modifications as requested by the USEPA. On November 3, 2025, the EPA reviewed the Company’s responses to the modifications and gave final approval to the work plan. In January 2026, a second updated engineering estimate was completed to address scope adjustments of the approved work plan and current market and river conditions. This updated engineering estimate necessitated another increase to the Kalamazoo reserve.</w:t>
      </w:r>
    </w:p>
    <w:p>
      <w:pPr>
        <w:spacing w:after="0" w:line="21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9"/>
          <w:szCs w:val="19"/>
          <w:color w:val="auto"/>
        </w:rPr>
        <w:t>As of December 31, 2025 and 2024, the total reserve for the Kalamazoo River was $111 million and $148 million, respectively. The reserve is reported on a basis that is net of expected contributions from the Company’s co-obligors and indemnitors, subject to when the applicable threshold is reached. While the Company believes its co-obligors’ and indemnitors’ obligations are as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260"/>
          </w:cols>
          <w:pgMar w:left="1000" w:top="220" w:right="98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previously reported, the reserve may be adjusted from time to time to reflect changes in our estimates of remediation costs and recoverability from co-obligors and indemnitors with respect to the Kalamazoo River.</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many aspects of the costs of remediation will not be determined for several years (and thus the high end of a range of possible costs for many areas of the site cannot be quantified at this time), the Company has made what it considers to be reasonable estimates of the low end of a range for such costs where remedies are identified, and/or estimates of the costs of investigations and studies for areas of the Kalamazoo River where remedies have not yet been determined, and the reserve is informed by those estimates. The extent of the Company’s potential liability remains subject to many uncertainties, notwithstanding the Consent Decree noted above, particularly in as much as remedy decisions and cost estimates will not be generated until future time periods and as most of the work to be performed will take place through the 2030s. Under other assumptions and estimates for possible costs of remediation, which the Company does not at this point consider to be reasonably estimable or verifiable, it is possible that the reserve the Company has taken to discontinued operations with respect to the Kalamazoo River could more than approximately double the reflected reserve.</w:t>
      </w:r>
    </w:p>
    <w:p>
      <w:pPr>
        <w:spacing w:after="0" w:line="21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Ebina </w:t>
      </w:r>
      <w:r>
        <w:rPr>
          <w:rFonts w:ascii="Times New Roman" w:cs="Times New Roman" w:eastAsia="Times New Roman" w:hAnsi="Times New Roman"/>
          <w:sz w:val="20"/>
          <w:szCs w:val="20"/>
          <w:color w:val="auto"/>
        </w:rPr>
        <w:t>The Company has completed all regulatory compliance activities in connection with certain environmental contaminants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generated in its past operations in Japan. The Company once had quantities of PCB and other wastes primarily from its former plant at Oiso, Japan, including capsulated undiluted solutions manufactured in the past, capacitors, light ballasts and PCB-affected soil from the Oiso plant that was excavated and placed in steel drums. These wastes were stored in a facility at Ebina, Japan in accordance with Japanese regulations governing such materials.</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reserve as of both December 31, 2025 and 2024 was zero. The Japan environmental waste issue is treated as a compliance matter and not as litigation or enforcement, and the Company has received no threats of litigation or enforcement. NCR Atleos does not have any indemnification obligations to the Company in connection with the Ebina matter, and this remediation was completed during 2024.</w:t>
      </w:r>
    </w:p>
    <w:p>
      <w:pPr>
        <w:spacing w:after="0" w:line="2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Environmental-Related Insurance Recoveries </w:t>
      </w:r>
      <w:r>
        <w:rPr>
          <w:rFonts w:ascii="Times New Roman" w:cs="Times New Roman" w:eastAsia="Times New Roman" w:hAnsi="Times New Roman"/>
          <w:sz w:val="20"/>
          <w:szCs w:val="20"/>
          <w:color w:val="auto"/>
        </w:rPr>
        <w:t>In connection with the Fox River, Kalamazoo River and other environmental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sites, through December 31, 2025, the Company has received a combined gross total of approximately $212 million in settlements reached with various of its insurance carriers. Some of the settlements cover not only the Fox River but also other environmental sites; some are limited to either the Fox River or the Kalamazoo River site. Some of the settlements are directed to defense costs and some are directed to indemnity; some settlements cover both defense costs and indemnity. The Company does not anticipate that further material insurance recoveries specific to Kalamazoo River remediation costs will be available in the future.</w:t>
      </w:r>
    </w:p>
    <w:p>
      <w:pPr>
        <w:spacing w:after="0" w:line="20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Environmental Remediation Estimates </w:t>
      </w:r>
      <w:r>
        <w:rPr>
          <w:rFonts w:ascii="Times New Roman" w:cs="Times New Roman" w:eastAsia="Times New Roman" w:hAnsi="Times New Roman"/>
          <w:sz w:val="20"/>
          <w:szCs w:val="20"/>
          <w:color w:val="auto"/>
        </w:rPr>
        <w:t>It is difficult to estimate the future financial impact of environmental laws,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potential liabilities. The Company records environmental provisions when it is probable that a liability has been incurred and the amount or range of the liability is reasonably estimable; in accordance with accounting guidance, where liabilities are not expected to be quantifiable or estimable for a period of years, the estimated costs of investigating those liabilities are recorded as a component of the reserve for that particular site. Provisions for estimated losses from environmental restoration and remediation are, depending on the site, based generally on internal and third-party environmental studies, estimates as to the number and participation level of other PRPs, the extent of contamination, estimated amounts for attorney and other fees, and the nature of required clean-up and restoration actions. Reserves are adjusted as further information develops or circumstances change. Management expects that the amounts reserved from time to time will be paid out over the period of investigation, negotiation, remediation and restoration for the applicable sites. The amounts recorded for environmental matters in the Company’s Consolidated Financial Statements are the estimated gross undiscounted amounts of such liabilities, without deductions for indemnity insurance, third-party indemnity claims or recoveries from other PRPs, except in the event certain criteria supporting the probability of receipt of payment from such third parties is met. For the Fox River and Kalamazoo River sites, as described above, assets relating to the AT&amp;T and Nokia indemnities and the BAT obligations recorded as payments are supported by contractual agreements, public filings, payment history, or other factors.</w:t>
      </w:r>
    </w:p>
    <w:p>
      <w:pPr>
        <w:spacing w:after="0" w:line="21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Guarantees and Product Warranties </w:t>
      </w:r>
      <w:r>
        <w:rPr>
          <w:rFonts w:ascii="Times New Roman" w:cs="Times New Roman" w:eastAsia="Times New Roman" w:hAnsi="Times New Roman"/>
          <w:sz w:val="20"/>
          <w:szCs w:val="20"/>
          <w:color w:val="auto"/>
        </w:rPr>
        <w:t>In the ordinary course of business, the Company may issue performance guarantees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behalf of its subsidiaries to certain of its customers and other parties. Some of those guarantees may be backed by standby letters of credit, surety bonds, or similar instruments. In general, under the guarantees, the Company would be obligated to perform, or cause performance, over the term of the underlying contract in the event of an unexcused, uncured breach by its subsidiary, or some other specified triggering event, in each case as defined by the applicable guarantee. The Company believes the likelihood of having to perform under any such guarantee is remote. As of December 31, 2025 and 2024, the Company had no material obligations related to such guarantees, and therefore its Consolidated Financial Statements do not have any associated liability balance.</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260"/>
          </w:cols>
          <w:pgMar w:left="1000" w:top="220" w:right="98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 provides its customers a standard manufacturer’s warranty and records, at the time of the sale, a corresponding estimated liability for potential warranty costs. Estimated future obligations due to warranty claims are based upon historical factors, such as labor rates, average repair time, travel time, number of service calls per machine and cost of replacement parts. When a sale is consummated, the total customer revenue is recognized, provided that all revenue recognition criteria are otherwise satisfied, and the associated warranty liability is recorded using pre-established warranty percentages for the respective product classes. Warranty reserve liabilities are presented in Other current liabilities and Other liabilities in the Consolidated Balance Sheets.</w:t>
      </w:r>
    </w:p>
    <w:p>
      <w:pPr>
        <w:spacing w:after="0" w:line="2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From time to time, product design or quality corrections are accomplished through modification programs. When identified, associated costs of labor and parts for such programs are estimated and accrued as part of the warranty reserve.</w:t>
      </w:r>
    </w:p>
    <w:p>
      <w:pPr>
        <w:spacing w:after="0" w:line="18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In addition, the Company provides its customers with certain indemnification rights, subject to certain limitations and exceptions. In some cases, the Company agrees to defend and indemnify its customers from third-party lawsuits alleging patent or other infringement of Company solutions based on its customers’ use of them. On limited occasions the Company will undertake to indemnify a customer for business, rather than contractual, reasons. From time to time, the Company also enters into agreements in connection with its acquisition and divestiture activities that include indemnification obligations by the Company. The fair value of these indemnification obligations is not readily determinable due to the conditional nature of the Company’s potential obligations, certain limitations to liability and indemnity exclusions that appear in certain of the Company’s agreements, and the specific facts and circumstances involved with each particular agreement. Historically, the Company has not recorded a liability in connection with these indemnifications. From time to time the Company has provided indemnification under these circumstances, none of which has resulted in material liabilities, and the Company expects these indemnities will continue to arise in the future.</w:t>
      </w:r>
    </w:p>
    <w:p>
      <w:pPr>
        <w:spacing w:after="0" w:line="2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Purchase Commitments </w:t>
      </w:r>
      <w:r>
        <w:rPr>
          <w:rFonts w:ascii="Times New Roman" w:cs="Times New Roman" w:eastAsia="Times New Roman" w:hAnsi="Times New Roman"/>
          <w:sz w:val="20"/>
          <w:szCs w:val="20"/>
          <w:color w:val="auto"/>
        </w:rPr>
        <w:t>The Company has purchase commitments for materials, supplies, services, and property, plant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equipment as part of the normal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LEASING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our lease balances as of December 31:</w:t>
      </w:r>
    </w:p>
    <w:p>
      <w:pPr>
        <w:spacing w:after="0" w:line="158"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Location in the Consolidated Balance Sheet</w:t>
            </w:r>
          </w:p>
        </w:tc>
        <w:tc>
          <w:tcPr>
            <w:tcW w:w="80" w:type="dxa"/>
            <w:vAlign w:val="bottom"/>
          </w:tcPr>
          <w:p>
            <w:pPr>
              <w:spacing w:after="0"/>
              <w:rPr>
                <w:sz w:val="16"/>
                <w:szCs w:val="16"/>
                <w:color w:val="auto"/>
              </w:rPr>
            </w:pPr>
          </w:p>
        </w:tc>
        <w:tc>
          <w:tcPr>
            <w:tcW w:w="11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460" w:type="dxa"/>
            <w:vAlign w:val="bottom"/>
            <w:vMerge w:val="continue"/>
          </w:tcPr>
          <w:p>
            <w:pPr>
              <w:spacing w:after="0"/>
              <w:rPr>
                <w:sz w:val="18"/>
                <w:szCs w:val="18"/>
                <w:color w:val="auto"/>
              </w:rPr>
            </w:pPr>
          </w:p>
        </w:tc>
        <w:tc>
          <w:tcPr>
            <w:tcW w:w="3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77"/>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Operating lease assets</w:t>
            </w:r>
          </w:p>
        </w:tc>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lease assets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208</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0" w:type="dxa"/>
            <w:vAlign w:val="bottom"/>
          </w:tcPr>
          <w:p>
            <w:pPr>
              <w:spacing w:after="0"/>
              <w:rPr>
                <w:sz w:val="1"/>
                <w:szCs w:val="1"/>
                <w:color w:val="auto"/>
              </w:rPr>
            </w:pPr>
          </w:p>
        </w:tc>
      </w:tr>
      <w:tr>
        <w:trPr>
          <w:trHeight w:val="300"/>
        </w:trPr>
        <w:tc>
          <w:tcPr>
            <w:tcW w:w="44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Finance lease assets</w:t>
            </w:r>
          </w:p>
        </w:tc>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100</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303"/>
        </w:trPr>
        <w:tc>
          <w:tcPr>
            <w:tcW w:w="44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Accumulated Amortization of Finance lease assets</w:t>
            </w:r>
          </w:p>
        </w:tc>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(81)</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Total leased assets</w:t>
            </w:r>
          </w:p>
        </w:tc>
        <w:tc>
          <w:tcPr>
            <w:tcW w:w="3120" w:type="dxa"/>
            <w:vAlign w:val="bottom"/>
          </w:tcPr>
          <w:p>
            <w:pPr>
              <w:spacing w:after="0"/>
              <w:rPr>
                <w:sz w:val="22"/>
                <w:szCs w:val="22"/>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227</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vMerge w:val="continue"/>
          </w:tcPr>
          <w:p>
            <w:pPr>
              <w:spacing w:after="0"/>
              <w:rPr>
                <w:sz w:val="22"/>
                <w:szCs w:val="22"/>
                <w:color w:val="auto"/>
              </w:rPr>
            </w:pPr>
          </w:p>
        </w:tc>
        <w:tc>
          <w:tcPr>
            <w:tcW w:w="3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Current</w:t>
            </w: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38</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00"/>
        </w:trPr>
        <w:tc>
          <w:tcPr>
            <w:tcW w:w="44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14</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Noncurrent</w:t>
            </w: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226</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0" w:type="dxa"/>
            <w:vAlign w:val="bottom"/>
          </w:tcPr>
          <w:p>
            <w:pPr>
              <w:spacing w:after="0"/>
              <w:rPr>
                <w:sz w:val="1"/>
                <w:szCs w:val="1"/>
                <w:color w:val="auto"/>
              </w:rPr>
            </w:pPr>
          </w:p>
        </w:tc>
      </w:tr>
      <w:tr>
        <w:trPr>
          <w:trHeight w:val="303"/>
        </w:trPr>
        <w:tc>
          <w:tcPr>
            <w:tcW w:w="44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liabilities</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5</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Total lease liabilities</w:t>
            </w:r>
          </w:p>
        </w:tc>
        <w:tc>
          <w:tcPr>
            <w:tcW w:w="3120" w:type="dxa"/>
            <w:vAlign w:val="bottom"/>
          </w:tcPr>
          <w:p>
            <w:pPr>
              <w:spacing w:after="0"/>
              <w:rPr>
                <w:sz w:val="22"/>
                <w:szCs w:val="22"/>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283</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-2507615</wp:posOffset>
            </wp:positionV>
            <wp:extent cx="6315075" cy="2527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6315075" cy="252730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260"/>
          </w:cols>
          <w:pgMar w:left="1000" w:top="220" w:right="98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our lease costs for operating and finance leases:</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40" w:type="dxa"/>
            <w:vAlign w:val="bottom"/>
          </w:tcPr>
          <w:p>
            <w:pPr>
              <w:spacing w:after="0"/>
              <w:rPr>
                <w:sz w:val="16"/>
                <w:szCs w:val="16"/>
                <w:color w:val="auto"/>
              </w:rPr>
            </w:pPr>
          </w:p>
        </w:tc>
        <w:tc>
          <w:tcPr>
            <w:tcW w:w="148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8"/>
              </w:rPr>
              <w:t>For the year ended</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14"/>
        </w:trPr>
        <w:tc>
          <w:tcPr>
            <w:tcW w:w="5400" w:type="dxa"/>
            <w:vAlign w:val="bottom"/>
            <w:vMerge w:val="continue"/>
          </w:tcPr>
          <w:p>
            <w:pPr>
              <w:spacing w:after="0"/>
              <w:rPr>
                <w:sz w:val="18"/>
                <w:szCs w:val="18"/>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77"/>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63</w:t>
            </w: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30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40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Amortization of leased assets</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140" w:type="dxa"/>
            <w:vAlign w:val="bottom"/>
          </w:tcPr>
          <w:p>
            <w:pPr>
              <w:spacing w:after="0"/>
              <w:rPr>
                <w:sz w:val="24"/>
                <w:szCs w:val="24"/>
                <w:color w:val="auto"/>
              </w:rPr>
            </w:pPr>
          </w:p>
        </w:tc>
        <w:tc>
          <w:tcPr>
            <w:tcW w:w="14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13</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00"/>
        </w:trPr>
        <w:tc>
          <w:tcPr>
            <w:tcW w:w="54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140" w:type="dxa"/>
            <w:vAlign w:val="bottom"/>
          </w:tcPr>
          <w:p>
            <w:pPr>
              <w:spacing w:after="0"/>
              <w:rPr>
                <w:sz w:val="24"/>
                <w:szCs w:val="24"/>
                <w:color w:val="auto"/>
              </w:rPr>
            </w:pPr>
          </w:p>
        </w:tc>
        <w:tc>
          <w:tcPr>
            <w:tcW w:w="14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w:t>
            </w:r>
          </w:p>
        </w:tc>
        <w:tc>
          <w:tcPr>
            <w:tcW w:w="140" w:type="dxa"/>
            <w:vAlign w:val="bottom"/>
          </w:tcPr>
          <w:p>
            <w:pPr>
              <w:spacing w:after="0"/>
              <w:rPr>
                <w:sz w:val="24"/>
                <w:szCs w:val="24"/>
                <w:color w:val="auto"/>
              </w:rPr>
            </w:pPr>
          </w:p>
        </w:tc>
        <w:tc>
          <w:tcPr>
            <w:tcW w:w="14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26</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303"/>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w:t>
            </w:r>
          </w:p>
        </w:tc>
        <w:tc>
          <w:tcPr>
            <w:tcW w:w="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w:t>
            </w: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60"/>
        </w:trPr>
        <w:tc>
          <w:tcPr>
            <w:tcW w:w="54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Total lease cost</w:t>
            </w:r>
          </w:p>
        </w:tc>
        <w:tc>
          <w:tcPr>
            <w:tcW w:w="6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98</w:t>
            </w:r>
          </w:p>
        </w:tc>
        <w:tc>
          <w:tcPr>
            <w:tcW w:w="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-1364615</wp:posOffset>
            </wp:positionV>
            <wp:extent cx="6496050" cy="1384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6496050" cy="13843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supplemental cash flow information:</w:t>
      </w:r>
    </w:p>
    <w:p>
      <w:pPr>
        <w:spacing w:after="0" w:line="18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6"/>
                <w:szCs w:val="16"/>
                <w:color w:val="auto"/>
              </w:rPr>
            </w:pPr>
          </w:p>
        </w:tc>
        <w:tc>
          <w:tcPr>
            <w:tcW w:w="1500" w:type="dxa"/>
            <w:vAlign w:val="bottom"/>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60" w:type="dxa"/>
            <w:vAlign w:val="bottom"/>
          </w:tcPr>
          <w:p>
            <w:pPr>
              <w:spacing w:after="0"/>
              <w:rPr>
                <w:sz w:val="16"/>
                <w:szCs w:val="16"/>
                <w:color w:val="auto"/>
              </w:rPr>
            </w:pPr>
          </w:p>
        </w:tc>
        <w:tc>
          <w:tcPr>
            <w:tcW w:w="1440" w:type="dxa"/>
            <w:vAlign w:val="bottom"/>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w w:val="98"/>
              </w:rPr>
              <w:t>For the year ended</w:t>
            </w:r>
          </w:p>
        </w:tc>
        <w:tc>
          <w:tcPr>
            <w:tcW w:w="180" w:type="dxa"/>
            <w:vAlign w:val="bottom"/>
          </w:tcPr>
          <w:p>
            <w:pPr>
              <w:spacing w:after="0"/>
              <w:rPr>
                <w:sz w:val="16"/>
                <w:szCs w:val="16"/>
                <w:color w:val="auto"/>
              </w:rPr>
            </w:pPr>
          </w:p>
        </w:tc>
        <w:tc>
          <w:tcPr>
            <w:tcW w:w="1440" w:type="dxa"/>
            <w:vAlign w:val="bottom"/>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w w:val="97"/>
              </w:rPr>
              <w:t>For the year ended</w:t>
            </w:r>
          </w:p>
        </w:tc>
        <w:tc>
          <w:tcPr>
            <w:tcW w:w="0" w:type="dxa"/>
            <w:vAlign w:val="bottom"/>
          </w:tcPr>
          <w:p>
            <w:pPr>
              <w:spacing w:after="0"/>
              <w:rPr>
                <w:sz w:val="1"/>
                <w:szCs w:val="1"/>
                <w:color w:val="auto"/>
              </w:rPr>
            </w:pPr>
          </w:p>
        </w:tc>
      </w:tr>
      <w:tr>
        <w:trPr>
          <w:trHeight w:val="214"/>
        </w:trPr>
        <w:tc>
          <w:tcPr>
            <w:tcW w:w="52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0" w:type="dxa"/>
            <w:vAlign w:val="bottom"/>
          </w:tcPr>
          <w:p>
            <w:pPr>
              <w:spacing w:after="0"/>
              <w:rPr>
                <w:sz w:val="1"/>
                <w:szCs w:val="1"/>
                <w:color w:val="auto"/>
              </w:rPr>
            </w:pPr>
          </w:p>
        </w:tc>
      </w:tr>
      <w:tr>
        <w:trPr>
          <w:trHeight w:val="212"/>
        </w:trPr>
        <w:tc>
          <w:tcPr>
            <w:tcW w:w="528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Cash paid for amounts included in the measurement of lease</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300"/>
        </w:trPr>
        <w:tc>
          <w:tcPr>
            <w:tcW w:w="5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0"/>
        </w:trPr>
        <w:tc>
          <w:tcPr>
            <w:tcW w:w="52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300"/>
        </w:trPr>
        <w:tc>
          <w:tcPr>
            <w:tcW w:w="5280" w:type="dxa"/>
            <w:vAlign w:val="bottom"/>
          </w:tcPr>
          <w:p>
            <w:pPr>
              <w:spacing w:after="0"/>
              <w:rPr>
                <w:sz w:val="20"/>
                <w:szCs w:val="20"/>
                <w:color w:val="auto"/>
              </w:rPr>
            </w:pPr>
            <w:r>
              <w:rPr>
                <w:rFonts w:ascii="Times New Roman" w:cs="Times New Roman" w:eastAsia="Times New Roman" w:hAnsi="Times New Roman"/>
                <w:sz w:val="20"/>
                <w:szCs w:val="20"/>
                <w:color w:val="auto"/>
              </w:rPr>
              <w:t>Lease Assets Obtained in Exchange for Lease Obligations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2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300"/>
        </w:trPr>
        <w:tc>
          <w:tcPr>
            <w:tcW w:w="52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Finance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-1461135</wp:posOffset>
            </wp:positionV>
            <wp:extent cx="6530975" cy="1482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6530975" cy="1482725"/>
                    </a:xfrm>
                    <a:prstGeom prst="rect">
                      <a:avLst/>
                    </a:prstGeom>
                    <a:noFill/>
                  </pic:spPr>
                </pic:pic>
              </a:graphicData>
            </a:graphic>
          </wp:anchor>
        </w:drawing>
      </w:r>
    </w:p>
    <w:p>
      <w:pPr>
        <w:spacing w:after="0" w:line="27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reconciles the undiscounted cash flows for each of the first five years and total of the remaining years to the finance lease liabilities and operating lease liabilities recorded on the Consolidated Balance Sheet as of December 31, 2025:</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9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60" w:type="dxa"/>
            <w:vAlign w:val="bottom"/>
          </w:tcPr>
          <w:p>
            <w:pPr>
              <w:spacing w:after="0"/>
              <w:rPr>
                <w:sz w:val="18"/>
                <w:szCs w:val="18"/>
                <w:color w:val="auto"/>
              </w:rPr>
            </w:pPr>
          </w:p>
        </w:tc>
        <w:tc>
          <w:tcPr>
            <w:tcW w:w="19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77"/>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30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30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0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1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19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tcPr>
          <w:p>
            <w:pPr>
              <w:spacing w:after="0"/>
              <w:rPr>
                <w:sz w:val="24"/>
                <w:szCs w:val="24"/>
                <w:color w:val="auto"/>
              </w:rPr>
            </w:pPr>
          </w:p>
        </w:tc>
        <w:tc>
          <w:tcPr>
            <w:tcW w:w="1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r>
      <w:tr>
        <w:trPr>
          <w:trHeight w:val="277"/>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03"/>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Less: Amount representing interest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6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0"/>
        </w:trPr>
        <w:tc>
          <w:tcPr>
            <w:tcW w:w="6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553200" cy="1765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6553200" cy="17653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all material operating leases had commenced.</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260"/>
          </w:cols>
          <w:pgMar w:left="1000" w:top="220" w:right="98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weighted average remaining lease term and interest rates:</w:t>
      </w:r>
    </w:p>
    <w:p>
      <w:pPr>
        <w:spacing w:after="0" w:line="200" w:lineRule="exact"/>
        <w:rPr>
          <w:sz w:val="20"/>
          <w:szCs w:val="20"/>
          <w:color w:val="auto"/>
        </w:rPr>
      </w:pP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6860" w:type="dxa"/>
            <w:vAlign w:val="bottom"/>
          </w:tcPr>
          <w:p>
            <w:pPr>
              <w:spacing w:after="0"/>
              <w:rPr>
                <w:sz w:val="18"/>
                <w:szCs w:val="18"/>
                <w:color w:val="auto"/>
              </w:rPr>
            </w:pPr>
          </w:p>
        </w:tc>
        <w:tc>
          <w:tcPr>
            <w:tcW w:w="16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77"/>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lease term:</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00"/>
        </w:trPr>
        <w:tc>
          <w:tcPr>
            <w:tcW w:w="6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Operating leases</w:t>
            </w:r>
          </w:p>
        </w:tc>
        <w:tc>
          <w:tcPr>
            <w:tcW w:w="16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6.8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 years</w:t>
            </w:r>
          </w:p>
        </w:tc>
      </w:tr>
      <w:tr>
        <w:trPr>
          <w:trHeight w:val="300"/>
        </w:trPr>
        <w:tc>
          <w:tcPr>
            <w:tcW w:w="6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Finance leases</w:t>
            </w:r>
          </w:p>
        </w:tc>
        <w:tc>
          <w:tcPr>
            <w:tcW w:w="1660" w:type="dxa"/>
            <w:vAlign w:val="bottom"/>
          </w:tcPr>
          <w:p>
            <w:pPr>
              <w:jc w:val="right"/>
              <w:ind w:right="24"/>
              <w:spacing w:after="0"/>
              <w:rPr>
                <w:sz w:val="20"/>
                <w:szCs w:val="20"/>
                <w:color w:val="auto"/>
              </w:rPr>
            </w:pPr>
            <w:r>
              <w:rPr>
                <w:rFonts w:ascii="Times New Roman" w:cs="Times New Roman" w:eastAsia="Times New Roman" w:hAnsi="Times New Roman"/>
                <w:sz w:val="20"/>
                <w:szCs w:val="20"/>
                <w:color w:val="auto"/>
              </w:rPr>
              <w:t>3.2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 years</w:t>
            </w:r>
          </w:p>
        </w:tc>
      </w:tr>
      <w:tr>
        <w:trPr>
          <w:trHeight w:val="30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interest rates:</w:t>
            </w: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00"/>
        </w:trPr>
        <w:tc>
          <w:tcPr>
            <w:tcW w:w="6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Operating leases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6.18 %</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6.17 %</w:t>
            </w:r>
          </w:p>
        </w:tc>
      </w:tr>
      <w:tr>
        <w:trPr>
          <w:trHeight w:val="300"/>
        </w:trPr>
        <w:tc>
          <w:tcPr>
            <w:tcW w:w="6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Finance leases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5.84 %</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-1146810</wp:posOffset>
            </wp:positionV>
            <wp:extent cx="6454775" cy="1168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6454775" cy="116840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SERIES A PREFERRED STOCK</w:t>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December 4, 2015, the Company issued 820,000 shares of Series A Convertible Preferred Stock to certain entities affiliated with the Blackstone Group L.P. (collectively, “Blackstone”) for an aggregate purchase price of $820 million, or $1,000 per share, pursuant to an Investment Agreement between the Company and Blackstone, dated November 11, 2015. In connection with the issuance of the Series A Convertible Preferred Stock, the Company incurred direct and incremental expenses of $26 million, including financial advisory fees, closing costs, legal expenses and other offering-related expenses. These direct and incremental expenses originally reduced the Series A Convertible Preferred Stock and were accreted through retained earnings as a deemed dividend from the date of issuance through the first possible known redemption date, March 16, 2024.</w:t>
      </w:r>
    </w:p>
    <w:p>
      <w:pPr>
        <w:spacing w:after="0" w:line="21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9"/>
          <w:szCs w:val="19"/>
          <w:color w:val="auto"/>
        </w:rPr>
        <w:t>In 2017, in connection with the early release of the lock-up included in the Investment Agreement, Blackstone offered for sale 342,000 shares of Series A Convertible Preferred Stock in an underwritten public offering. In addition, Blackstone converted 90,000 shares of Series A Convertible Preferred Stock into shares of our common stock and we repurchased those shares of common stock for $48.47 per share. The underwritten offering and the stock repurchase were consummated on March 17, 2017.</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On September 18, 2019, the Company entered into an agreement to repurchase and convert the outstanding 512,221 shares of Series A Convertible Preferred Stock owned by Blackstone. The Company repurchased 237,673 shares of Series A Convertible Preferred Stock for total cash consideration of $302 million. The remaining shares of Blackstone’s Series A Convertible Preferred Stock, including accrued dividends, were converted to approximately 9.2 million shares of common stock at a conversion price of $30.00 per share.</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the repurchase of Series A Convertible Preferred Stock, the excess of the fair value of consideration transferred over the carrying value was approximately $67 million, and has been included as a deemed dividend in adjusting the income from common stockholders in calculating earnings per share. In this analysis, we determined the fair value of the consideration transferred was not in excess of the fair value of the redeemed Series A Convertible Preferred Stock. As a result, there was no inducement provided to Blackstone for the conversion of the remaining preferred shares into common stock.</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October 6, 2020, the Company entered into a definitive agreement to repurchase 67,000 shares of Series A Convertible Preferred Stock from two affiliated shareholders for a total cash consideration of $72 million. The transaction closed on October 7, 2020. On October 12, 2020, the Company entered into a definitive agreement to repurchase 65,365 shares of Series A Convertible Preferred Stock owned by two affiliated shareholders for a total cash consideration of $72 million. The transaction closed on October 13, 2020. The excess of the fair value of consideration transferred over the carrying value was approximately $12 million, and has been included as a deemed dividend in adjusting the income from common stockholders in calculating earnings per share.</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On November 12, 2025, NCR Voyix entered into a definitive agreement to repurchase 68,566 shares of Series A Convertible Preferred Stock from one shareholder for a total cash consideration of $74 million. The transaction closed on November 17, 2025. The excess of the fair value of consideration transferred over the carrying value was approximately $5 million and has been included as a deemed dividend in adjusting the income from common stockholders in calculating earnings per share.</w:t>
      </w:r>
    </w:p>
    <w:p>
      <w:pPr>
        <w:spacing w:after="0" w:line="19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Dividend Rights </w:t>
      </w:r>
      <w:r>
        <w:rPr>
          <w:rFonts w:ascii="Times New Roman" w:cs="Times New Roman" w:eastAsia="Times New Roman" w:hAnsi="Times New Roman"/>
          <w:sz w:val="20"/>
          <w:szCs w:val="20"/>
          <w:color w:val="auto"/>
        </w:rPr>
        <w:t>The Series A Convertible Preferred Stock ranks senior to the shares of the Company’s common stock,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dividend rights and rights on the distribution of assets on any voluntary or involuntary liquidation, dissolution or winding up of the affairs of the Company. The Series A Convertible Preferred Stock has a liquidation preference of $1,000 per share. Holders of Series A Convertible Preferred Stock are entitled to a cumulative dividend at the rate of 5.5% per annum, which was payable quarterly in arrears. Beginning in the first quarter of 2020, dividends are payable in cash or in-kind at the</w:t>
      </w:r>
    </w:p>
    <w:p>
      <w:pPr>
        <w:sectPr>
          <w:pgSz w:w="12240" w:h="15840" w:orient="portrait"/>
          <w:cols w:equalWidth="0" w:num="1">
            <w:col w:w="10260"/>
          </w:cols>
          <w:pgMar w:left="1000" w:top="220" w:right="980" w:bottom="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260"/>
          </w:cols>
          <w:pgMar w:left="1000" w:top="220" w:right="98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option of the Company. If the Company does not declare and pay a dividend, the dividend rate will increase to 8.0% per annum until all accrued but unpaid dividends have been paid in full. During the years ended December 31, 2025, 2024 and 2023, the Company did not pay dividends-in-kind associated with the Series A Convertible Preferred Stock. Cash dividends of $15 million were declared during the years ended December 31, 2025, 2024 and 2023.</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Conversion Features </w:t>
      </w:r>
      <w:r>
        <w:rPr>
          <w:rFonts w:ascii="Times New Roman" w:cs="Times New Roman" w:eastAsia="Times New Roman" w:hAnsi="Times New Roman"/>
          <w:sz w:val="20"/>
          <w:szCs w:val="20"/>
          <w:color w:val="auto"/>
        </w:rPr>
        <w:t>Prior to the close of business on October 17, 2023, the Series A Convertible Preferred Stock was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 shares of common stock per share of Series A Convertible Preferred Stock, effective immediately after the close of business on October 17, 2023. As of December 31, 2025 and 2024, the maximum number of common shares that could be required to be issued upon conversion of the outstanding shares of Series A Convertible Preferred Stock was 11.9 million and 15.9 million shares, respectively. The conversion rate is subject to the following customary anti-dilution and other adjustments:</w:t>
      </w:r>
    </w:p>
    <w:p>
      <w:pPr>
        <w:spacing w:after="0" w:line="209" w:lineRule="exact"/>
        <w:rPr>
          <w:sz w:val="20"/>
          <w:szCs w:val="20"/>
          <w:color w:val="auto"/>
        </w:rPr>
      </w:pPr>
    </w:p>
    <w:p>
      <w:pPr>
        <w:ind w:left="720" w:right="20" w:hanging="370"/>
        <w:spacing w:after="0" w:line="260"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common stock as a dividend or the subdivision, combination, or reclassification of common stock into a greater or lesser number of shares of common stock;</w:t>
      </w:r>
    </w:p>
    <w:p>
      <w:pPr>
        <w:spacing w:after="0" w:line="1" w:lineRule="exact"/>
        <w:rPr>
          <w:rFonts w:ascii="Times New Roman" w:cs="Times New Roman" w:eastAsia="Times New Roman" w:hAnsi="Times New Roman"/>
          <w:sz w:val="20"/>
          <w:szCs w:val="20"/>
          <w:color w:val="auto"/>
        </w:rPr>
      </w:pPr>
    </w:p>
    <w:p>
      <w:pPr>
        <w:jc w:val="both"/>
        <w:ind w:left="720" w:right="20" w:hanging="370"/>
        <w:spacing w:after="0" w:line="250"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dividend, distribution or other issuance of rights, options or warrants to holders of Common Stock entitling them to subscribe for or purchase shares of common stock at a price per share that is less than the volume-weighted average price per share of common stock;</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completion of a tender offer or exchange offer of shares of common stock at a premium to the volume-weighted average price per share of common stock and certain other above-market purchases of common stock;</w:t>
      </w:r>
    </w:p>
    <w:p>
      <w:pPr>
        <w:ind w:left="720" w:right="20" w:hanging="370"/>
        <w:spacing w:after="0" w:line="250"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a dividend or similar distribution in-kind, which can include shares of any class of capital stock, evidences of the Company’s indebtedness, assets or other property or securities, to holders of common stock;</w:t>
      </w:r>
    </w:p>
    <w:p>
      <w:pPr>
        <w:ind w:left="720" w:right="20" w:hanging="370"/>
        <w:spacing w:after="0" w:line="250" w:lineRule="auto"/>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in which a subsidiary of the Company ceases to be a subsidiary of the Company as a result of the distribution of the equity interests of the subsidiary to the holders of the Company’s common stock; and</w:t>
      </w:r>
    </w:p>
    <w:p>
      <w:pPr>
        <w:ind w:left="720" w:hanging="370"/>
        <w:spacing w:after="0"/>
        <w:tabs>
          <w:tab w:leader="none" w:pos="7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 cash dividend to the holders of common stock.</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All outstanding shares of Series A Convertible Preferred Stock are convertible at the option of the Company if the volume-weighted average price of the common stock exceeds $54.00 for at least 30 trading days in any period of 45 consecutive trading days. The $54.00 may be adjusted pursuant to the anti-dilution provisions above.</w:t>
      </w:r>
    </w:p>
    <w:p>
      <w:pPr>
        <w:spacing w:after="0" w:line="19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9"/>
          <w:szCs w:val="19"/>
          <w:color w:val="auto"/>
        </w:rPr>
        <w:t>The Series A Convertible Preferred Stock, and the associated dividends for the first sixteen payments, did not generate a beneficial conversion feature (“BCF”) upon issuance as the fair value of the Company’s common stock was greater than the conversion price. The Company will determine and, if required, measure a BCF based on the fair value of our stock price on the date dividends are declared subsequent to the sixteenth dividend. If a BCF is recognized, a reduction to retained earnings and the Series A Convertible Preferred Stock will be recorded, and then subsequently accreted through the first redemption date.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Additionally, the Company determined that the nature of the Series A Convertible Preferred Stock was more akin to an equity instrument and that the economic characteristics and risks of the embedded conversion options were clearly and closely related to the Series A Convertible Preferred Stock. As such, the conversion options were not required to be bifurcated from the host under ASC 815, </w:t>
      </w:r>
      <w:r>
        <w:rPr>
          <w:rFonts w:ascii="Times New Roman" w:cs="Times New Roman" w:eastAsia="Times New Roman" w:hAnsi="Times New Roman"/>
          <w:sz w:val="20"/>
          <w:szCs w:val="20"/>
          <w:b w:val="1"/>
          <w:bCs w:val="1"/>
          <w:i w:val="1"/>
          <w:iCs w:val="1"/>
          <w:color w:val="auto"/>
        </w:rPr>
        <w:t>Derivatives and Hedging.</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Redemption Rights </w:t>
      </w:r>
      <w:r>
        <w:rPr>
          <w:rFonts w:ascii="Times New Roman" w:cs="Times New Roman" w:eastAsia="Times New Roman" w:hAnsi="Times New Roman"/>
          <w:sz w:val="20"/>
          <w:szCs w:val="20"/>
          <w:color w:val="auto"/>
        </w:rPr>
        <w:t>On any date during the three months commencing on and immediately following March 16, 2024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three months commencing on and immediately following every third anniversary of March 16, 2024, holders of Series A Convertible Preferred Stock have the right to require the Company to repurchase all or any portion of the Series A Convertible Preferred Stock at 100% of the liquidation preference thereof plus all accrued but unpaid dividends. Upon certain change of control events involving the Company, holders of Series A Convertible Preferred Stock can require the Company to repurchase, subject to certain exceptions, all or any portion of the Series A Convertible Preferred Stock at the greater of (1) an amount in cash equal to 100% of the liquidation preference thereof plus all accrued but unpaid dividends and (2) the consideration the holders would have received if they had converted their shares of Series A Convertible Preferred Stock into common stock immediately prior to the change of control event.</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 Company has the right, upon certain change of control events involving the Company, to redeem the Series A Convertible Preferred Stock at the greater of (1) an amount in cash equal to the sum of the liquidation preference of the Series A Convertible Preferred Stock, all accrued but unpaid dividends and the present value, discounted at a rate of 10%, of any remaining scheduled dividends through the fifth anniversary of the first dividend payment date, assuming the Company chose to pay such</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260"/>
          </w:cols>
          <w:pgMar w:left="1000" w:top="220" w:right="98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9"/>
          <w:szCs w:val="19"/>
          <w:color w:val="auto"/>
        </w:rPr>
        <w:t>dividends in cash (the “make-whole provision”) and (2) the consideration the holders would have received if they had converted their shares of Series A Convertible Preferred Stock into common stock immediately prior to the change of control event.</w:t>
      </w:r>
    </w:p>
    <w:p>
      <w:pPr>
        <w:spacing w:after="0" w:line="15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0"/>
          <w:szCs w:val="20"/>
          <w:color w:val="auto"/>
        </w:rPr>
        <w:t xml:space="preserve">Since the redemption of the Series A Convertible Preferred Stock is contingently or optionally redeemable and therefore not certain to occur, the Series A Convertible Preferred Stock is not required to be classified as a liability under ASC 480, </w:t>
      </w:r>
      <w:r>
        <w:rPr>
          <w:rFonts w:ascii="Times New Roman" w:cs="Times New Roman" w:eastAsia="Times New Roman" w:hAnsi="Times New Roman"/>
          <w:sz w:val="20"/>
          <w:szCs w:val="20"/>
          <w:b w:val="1"/>
          <w:bCs w:val="1"/>
          <w:i w:val="1"/>
          <w:iCs w:val="1"/>
          <w:color w:val="auto"/>
        </w:rPr>
        <w:t>Distinguishing Liabilities from Equity</w:t>
      </w:r>
      <w:r>
        <w:rPr>
          <w:rFonts w:ascii="Times New Roman" w:cs="Times New Roman" w:eastAsia="Times New Roman" w:hAnsi="Times New Roman"/>
          <w:sz w:val="20"/>
          <w:szCs w:val="20"/>
          <w:color w:val="auto"/>
        </w:rPr>
        <w:t>. As the Series A Convertible Preferred Stock is redeemable in certain circumstances at the option of the holder and is redeemable in certain circumstances upon the occurrence of an event that is not solely within our control, we have classified the Series A Convertible Preferred Stock in mezzanine equity in the Consolidated Balance Sheets.</w:t>
      </w:r>
    </w:p>
    <w:p>
      <w:pPr>
        <w:spacing w:after="0" w:line="200" w:lineRule="exact"/>
        <w:rPr>
          <w:sz w:val="20"/>
          <w:szCs w:val="20"/>
          <w:color w:val="auto"/>
        </w:rPr>
      </w:pPr>
    </w:p>
    <w:p>
      <w:pPr>
        <w:spacing w:after="0" w:line="24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As noted above, the Company determined that the nature of the Series A Convertible Preferred Stock was more akin to an equity instrument. However, the Company determined that the economic characteristics and risks of the embedded put options, call option and make-whole provision were not clearly and closely related to the Series A Convertible Preferred Stock. Therefore, the Company assessed the put and call options further, and determined they did not meet the definition of a derivative under ASC 815,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 xml:space="preserve"> Under the same analysis, the Company determined the make-whole provision did meet the definition of a derivative, but that the value of the derivative was minimal due to the expectations surrounding the scenarios under which the call option and make-whole provision would be exercised.</w:t>
      </w:r>
    </w:p>
    <w:p>
      <w:pPr>
        <w:spacing w:after="0" w:line="20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Voting Rights </w:t>
      </w:r>
      <w:r>
        <w:rPr>
          <w:rFonts w:ascii="Times New Roman" w:cs="Times New Roman" w:eastAsia="Times New Roman" w:hAnsi="Times New Roman"/>
          <w:sz w:val="20"/>
          <w:szCs w:val="20"/>
          <w:color w:val="auto"/>
        </w:rPr>
        <w:t>Holders of Series A Convertible Preferred Stock are entitled to vote with the holders of the common stock on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as-converted basis. Holders of Series A Convertible Preferred Stock are entitled to a separate class vote with respect to amendments to the Company’s organizational documents that have an adverse effect on the Series A Convertible Preferred Stock and issuances by the Company of securities that are senior to, or equal in priority with, the Series A Convertible Preferred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EARNINGS PER SHARE</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Basic earnings per share (“EPS”) is calculated by dividing net income or loss attributable to NCR Voyix, less any dividends (declared or cumulative undeclared), deemed dividends, accretion or decretion, redemption or induced conversion on our Series A Convertible Preferred Stock, by the weighted average number of shares outstanding during the period.</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computing diluted EPS, we evaluate and reflect the maximum potential dilution, for each issue or series of issues of potential common shares in sequence from the most dilutive to the least dilutive.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We adjust the denominator used in the basic EPS computation, subject to anti-dilution requirements, to include the dilution from potential shares resulting from the issuance of the Series A Convertible Preferred Stock, restricted stock units, and stock options.</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 holders of Series A Convertible Preferred Stock, unvested restricted stock units and stock options do not have non-forfeitable rights to common stock dividends or common stock dividend equivalents. Accordingly, the Series A Convertible Preferred Stock, unvested restricted stock units and stock options do not qualify as participating securities. See Note 9, “Stock Compensation Plans”, for share information on NCR Voyix’s stock compensation plans.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260"/>
          </w:cols>
          <w:pgMar w:left="1000" w:top="220" w:right="98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basic earnings (loss) per share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6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0"/>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6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0" w:type="dxa"/>
            <w:vAlign w:val="bottom"/>
          </w:tcPr>
          <w:p>
            <w:pPr>
              <w:spacing w:after="0"/>
              <w:rPr>
                <w:sz w:val="1"/>
                <w:szCs w:val="1"/>
                <w:color w:val="auto"/>
              </w:rPr>
            </w:pPr>
          </w:p>
        </w:tc>
      </w:tr>
      <w:tr>
        <w:trPr>
          <w:trHeight w:val="303"/>
        </w:trPr>
        <w:tc>
          <w:tcPr>
            <w:tcW w:w="6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Series A convertible preferred stock dividends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00"/>
        </w:trPr>
        <w:tc>
          <w:tcPr>
            <w:tcW w:w="6880" w:type="dxa"/>
            <w:vAlign w:val="bottom"/>
          </w:tcPr>
          <w:p>
            <w:pPr>
              <w:ind w:left="40"/>
              <w:spacing w:after="0" w:line="201" w:lineRule="exact"/>
              <w:rPr>
                <w:sz w:val="20"/>
                <w:szCs w:val="20"/>
                <w:color w:val="auto"/>
              </w:rPr>
            </w:pPr>
            <w:r>
              <w:rPr>
                <w:rFonts w:ascii="Times New Roman" w:cs="Times New Roman" w:eastAsia="Times New Roman" w:hAnsi="Times New Roman"/>
                <w:sz w:val="20"/>
                <w:szCs w:val="20"/>
                <w:b w:val="1"/>
                <w:bCs w:val="1"/>
                <w:color w:val="auto"/>
              </w:rPr>
              <w:t>Net income (loss) from continuing operations attributable to NCR Voyix</w:t>
            </w: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0" w:type="dxa"/>
            <w:vAlign w:val="bottom"/>
          </w:tcPr>
          <w:p>
            <w:pPr>
              <w:spacing w:after="0"/>
              <w:rPr>
                <w:sz w:val="1"/>
                <w:szCs w:val="1"/>
                <w:color w:val="auto"/>
              </w:rPr>
            </w:pPr>
          </w:p>
        </w:tc>
      </w:tr>
      <w:tr>
        <w:trPr>
          <w:trHeight w:val="264"/>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common stockholders</w:t>
            </w:r>
          </w:p>
        </w:tc>
        <w:tc>
          <w:tcPr>
            <w:tcW w:w="2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6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Income (loss) from discontinued operations, net of tax</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r>
        <w:trPr>
          <w:trHeight w:val="260"/>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Net income (loss) attributable to NCR Voyix common stockholders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Basic weighted average number of shares outstanding</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138.6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w:t>
            </w:r>
          </w:p>
        </w:tc>
        <w:tc>
          <w:tcPr>
            <w:tcW w:w="0" w:type="dxa"/>
            <w:vAlign w:val="bottom"/>
          </w:tcPr>
          <w:p>
            <w:pPr>
              <w:spacing w:after="0"/>
              <w:rPr>
                <w:sz w:val="1"/>
                <w:szCs w:val="1"/>
                <w:color w:val="auto"/>
              </w:rPr>
            </w:pPr>
          </w:p>
        </w:tc>
      </w:tr>
      <w:tr>
        <w:trPr>
          <w:trHeight w:val="583"/>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Basic earnings (loss) per share: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From continuing operations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0.16</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0" w:type="dxa"/>
            <w:vAlign w:val="bottom"/>
          </w:tcPr>
          <w:p>
            <w:pPr>
              <w:spacing w:after="0"/>
              <w:rPr>
                <w:sz w:val="1"/>
                <w:szCs w:val="1"/>
                <w:color w:val="auto"/>
              </w:rPr>
            </w:pPr>
          </w:p>
        </w:tc>
      </w:tr>
      <w:tr>
        <w:trPr>
          <w:trHeight w:val="303"/>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From discontinued operations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0.14</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0" w:type="dxa"/>
            <w:vAlign w:val="bottom"/>
          </w:tcPr>
          <w:p>
            <w:pPr>
              <w:spacing w:after="0"/>
              <w:rPr>
                <w:sz w:val="1"/>
                <w:szCs w:val="1"/>
                <w:color w:val="auto"/>
              </w:rPr>
            </w:pPr>
          </w:p>
        </w:tc>
      </w:tr>
      <w:tr>
        <w:trPr>
          <w:trHeight w:val="260"/>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basic earnings per share</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0.30</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The components of diluted earnings (loss) per share are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0"/>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Numerator:</w:t>
            </w: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6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0" w:type="dxa"/>
            <w:vAlign w:val="bottom"/>
          </w:tcPr>
          <w:p>
            <w:pPr>
              <w:spacing w:after="0"/>
              <w:rPr>
                <w:sz w:val="1"/>
                <w:szCs w:val="1"/>
                <w:color w:val="auto"/>
              </w:rPr>
            </w:pPr>
          </w:p>
        </w:tc>
      </w:tr>
      <w:tr>
        <w:trPr>
          <w:trHeight w:val="303"/>
        </w:trPr>
        <w:tc>
          <w:tcPr>
            <w:tcW w:w="6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Series A convertible preferred stock dividends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00"/>
        </w:trPr>
        <w:tc>
          <w:tcPr>
            <w:tcW w:w="6880" w:type="dxa"/>
            <w:vAlign w:val="bottom"/>
          </w:tcPr>
          <w:p>
            <w:pPr>
              <w:ind w:left="40"/>
              <w:spacing w:after="0" w:line="201" w:lineRule="exact"/>
              <w:rPr>
                <w:sz w:val="20"/>
                <w:szCs w:val="20"/>
                <w:color w:val="auto"/>
              </w:rPr>
            </w:pPr>
            <w:r>
              <w:rPr>
                <w:rFonts w:ascii="Times New Roman" w:cs="Times New Roman" w:eastAsia="Times New Roman" w:hAnsi="Times New Roman"/>
                <w:sz w:val="20"/>
                <w:szCs w:val="20"/>
                <w:b w:val="1"/>
                <w:bCs w:val="1"/>
                <w:color w:val="auto"/>
              </w:rPr>
              <w:t>Net income (loss) from continuing operations attributable to NCR Voyix</w:t>
            </w:r>
          </w:p>
        </w:tc>
        <w:tc>
          <w:tcPr>
            <w:tcW w:w="2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(749)</w:t>
            </w:r>
          </w:p>
        </w:tc>
        <w:tc>
          <w:tcPr>
            <w:tcW w:w="0" w:type="dxa"/>
            <w:vAlign w:val="bottom"/>
          </w:tcPr>
          <w:p>
            <w:pPr>
              <w:spacing w:after="0"/>
              <w:rPr>
                <w:sz w:val="1"/>
                <w:szCs w:val="1"/>
                <w:color w:val="auto"/>
              </w:rPr>
            </w:pPr>
          </w:p>
        </w:tc>
      </w:tr>
      <w:tr>
        <w:trPr>
          <w:trHeight w:val="264"/>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common stockholders</w:t>
            </w:r>
          </w:p>
        </w:tc>
        <w:tc>
          <w:tcPr>
            <w:tcW w:w="26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6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Income (loss) from discontinued operations, net of tax</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0" w:type="dxa"/>
            <w:vAlign w:val="bottom"/>
          </w:tcPr>
          <w:p>
            <w:pPr>
              <w:spacing w:after="0"/>
              <w:rPr>
                <w:sz w:val="1"/>
                <w:szCs w:val="1"/>
                <w:color w:val="auto"/>
              </w:rPr>
            </w:pPr>
          </w:p>
        </w:tc>
      </w:tr>
      <w:tr>
        <w:trPr>
          <w:trHeight w:val="277"/>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Net income (loss) attributable to NCR Voyix common stockholders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c>
          <w:tcPr>
            <w:tcW w:w="0" w:type="dxa"/>
            <w:vAlign w:val="bottom"/>
          </w:tcPr>
          <w:p>
            <w:pPr>
              <w:spacing w:after="0"/>
              <w:rPr>
                <w:sz w:val="1"/>
                <w:szCs w:val="1"/>
                <w:color w:val="auto"/>
              </w:rPr>
            </w:pPr>
          </w:p>
        </w:tc>
      </w:tr>
      <w:tr>
        <w:trPr>
          <w:trHeight w:val="583"/>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Basic weighted average number of shares outstanding</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138.6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w:t>
            </w:r>
          </w:p>
        </w:tc>
        <w:tc>
          <w:tcPr>
            <w:tcW w:w="0" w:type="dxa"/>
            <w:vAlign w:val="bottom"/>
          </w:tcPr>
          <w:p>
            <w:pPr>
              <w:spacing w:after="0"/>
              <w:rPr>
                <w:sz w:val="1"/>
                <w:szCs w:val="1"/>
                <w:color w:val="auto"/>
              </w:rPr>
            </w:pPr>
          </w:p>
        </w:tc>
      </w:tr>
      <w:tr>
        <w:trPr>
          <w:trHeight w:val="303"/>
        </w:trPr>
        <w:tc>
          <w:tcPr>
            <w:tcW w:w="6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Dilutive effect of employee stock options and restricted stock units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7"/>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Weighted average diluted shares</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w:t>
            </w:r>
          </w:p>
        </w:tc>
        <w:tc>
          <w:tcPr>
            <w:tcW w:w="0" w:type="dxa"/>
            <w:vAlign w:val="bottom"/>
          </w:tcPr>
          <w:p>
            <w:pPr>
              <w:spacing w:after="0"/>
              <w:rPr>
                <w:sz w:val="1"/>
                <w:szCs w:val="1"/>
                <w:color w:val="auto"/>
              </w:rPr>
            </w:pPr>
          </w:p>
        </w:tc>
      </w:tr>
      <w:tr>
        <w:trPr>
          <w:trHeight w:val="583"/>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Diluted earnings (loss) per share: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From continuing operations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0.16</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0" w:type="dxa"/>
            <w:vAlign w:val="bottom"/>
          </w:tcPr>
          <w:p>
            <w:pPr>
              <w:spacing w:after="0"/>
              <w:rPr>
                <w:sz w:val="1"/>
                <w:szCs w:val="1"/>
                <w:color w:val="auto"/>
              </w:rPr>
            </w:pPr>
          </w:p>
        </w:tc>
      </w:tr>
      <w:tr>
        <w:trPr>
          <w:trHeight w:val="303"/>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From discontinued operations</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0" w:type="dxa"/>
            <w:vAlign w:val="bottom"/>
          </w:tcPr>
          <w:p>
            <w:pPr>
              <w:spacing w:after="0"/>
              <w:rPr>
                <w:sz w:val="1"/>
                <w:szCs w:val="1"/>
                <w:color w:val="auto"/>
              </w:rPr>
            </w:pPr>
          </w:p>
        </w:tc>
      </w:tr>
      <w:tr>
        <w:trPr>
          <w:trHeight w:val="277"/>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diluted earnings per share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0.30</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-6703060</wp:posOffset>
            </wp:positionV>
            <wp:extent cx="6562725" cy="2832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5">
                      <a:extLst>
                        <a:ext uri="{28A0092B-C50C-407E-A947-70E740481C1C}"/>
                      </a:extLst>
                    </a:blip>
                    <a:srcRect/>
                    <a:stretch>
                      <a:fillRect/>
                    </a:stretch>
                  </pic:blipFill>
                  <pic:spPr bwMode="auto">
                    <a:xfrm>
                      <a:off x="0" y="0"/>
                      <a:ext cx="6562725" cy="283210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-3166110</wp:posOffset>
            </wp:positionV>
            <wp:extent cx="6550025" cy="3187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6">
                      <a:extLst>
                        <a:ext uri="{28A0092B-C50C-407E-A947-70E740481C1C}"/>
                      </a:extLst>
                    </a:blip>
                    <a:srcRect/>
                    <a:stretch>
                      <a:fillRect/>
                    </a:stretch>
                  </pic:blipFill>
                  <pic:spPr bwMode="auto">
                    <a:xfrm>
                      <a:off x="0" y="0"/>
                      <a:ext cx="6550025" cy="3187700"/>
                    </a:xfrm>
                    <a:prstGeom prst="rect">
                      <a:avLst/>
                    </a:prstGeom>
                    <a:noFill/>
                  </pic:spPr>
                </pic:pic>
              </a:graphicData>
            </a:graphic>
          </wp:anchor>
        </w:drawing>
      </w:r>
    </w:p>
    <w:p>
      <w:pPr>
        <w:spacing w:after="0" w:line="3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For 2025, the weighted average outstanding shares of common stock were not adjusted by 15.3 million for the as-if converted Series A Convertible Preferred Stock because the effect would be anti-dilutive. Additionally, for 2025, weighted average restricted stock units and stock options of 5.4 million were excluded from the diluted share count because their effect would have been anti-dilutive. Refer to Note 13, “Series A Convertible Preferred Stock”, for additional discussion related to the transaction impacting the Series A Convertible Preferred Stock.</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For 2024, due to the net loss from continuing operations attributable to NCR Voyix common stockholders, potential common shares that would cause dilution, such as Series A Convertible Preferred Stock, restricted stock units and stock options, were</w:t>
      </w:r>
    </w:p>
    <w:p>
      <w:pPr>
        <w:sectPr>
          <w:pgSz w:w="12240" w:h="15840" w:orient="portrait"/>
          <w:cols w:equalWidth="0" w:num="1">
            <w:col w:w="10260"/>
          </w:cols>
          <w:pgMar w:left="1000" w:top="220" w:right="980" w:bottom="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0260"/>
          </w:cols>
          <w:pgMar w:left="1000" w:top="220" w:right="980" w:bottom="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excluded from the diluted share count because their effect would have been anti-dilutive. The weighted average outstanding shares of common stock were not adjusted by 15.9 million for the as-if converted Series A Convertible Preferred Stock because the effect would be anti-dilutive. Additionally, for 2024, weighted average restricted stock units and stock options of 10.1 million were excluded from the diluted share count because their effect would have been anti-dilutive.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For 2023, due to the net loss from continuing operations attributable to NCR Voyix common stockholders, potential common shares that would cause dilution, such as Series A Convertible Preferred Stock, restricted stock units and stock options, were excluded from the diluted share count because their effect would have been anti-dilutive. The weighted average outstanding shares of common stock were not adjusted by 10.6 million for the as-if converted Series A Convertible Preferred Stock because the effect would have been anti-dilutive. Additionally, for 2023, weighted average restricted stock units and stock options of 12.1 million were excluded from the diluted share count because their effect would have been anti-dilutive.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DERIVATIVES AND HEDGING INSTRUMENTS</w:t>
      </w:r>
    </w:p>
    <w:p>
      <w:pPr>
        <w:spacing w:after="0" w:line="25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is exposed to certain risks arising from both our business operations and economic conditions. We principally manage exposures to a wide variety of business and operational risk through management of core business activities.</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Interest Rate Risk </w:t>
      </w:r>
      <w:r>
        <w:rPr>
          <w:rFonts w:ascii="Times New Roman" w:cs="Times New Roman" w:eastAsia="Times New Roman" w:hAnsi="Times New Roman"/>
          <w:sz w:val="20"/>
          <w:szCs w:val="20"/>
          <w:color w:val="auto"/>
        </w:rPr>
        <w:t>We manage interest rate risk by managing the amount, sources and duration of debt funding.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historically used interest rate cap agreements or interest rate swap contracts (“Interest Rate Derivatives”) to manage differences in the amount, timing and duration of known or expected cash payments related to its floating rate-debt agreements.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designates Interest Rate Derivative contracts as cash flow hedges of forecasted transactions when they are determined to be highly effective at inception. Payments and receipts related to Interest Rate Derivatives are included in cash flows from operating activities in the Consolidated Statements of Cash Flows.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Foreign Currency Exchange Risk </w:t>
      </w:r>
      <w:r>
        <w:rPr>
          <w:rFonts w:ascii="Times New Roman" w:cs="Times New Roman" w:eastAsia="Times New Roman" w:hAnsi="Times New Roman"/>
          <w:sz w:val="20"/>
          <w:szCs w:val="20"/>
          <w:color w:val="auto"/>
        </w:rPr>
        <w:t>A portion of our operations and revenue occur outside the United States and, as such,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has exposure to approximately 25 functional currencies. Our results can be significantly impacted, both positively and negatively, by changes in foreign currency exchange rates. The Company seeks to mitigate such impact by hedging its foreign currency transaction exposure using foreign currency forward and option contracts. We do not enter into hedges for speculative purposes.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Historically, our risk management strategy included hedging, on behalf of certain subsidiaries, a portion of our forecasted, non-functional currency denominated cash flows for a period of up to 15 months. If the hedge was designated as a highly effective cash flow hedge, the gains or losses were deferred into accumulated other comprehensive income (“AOCI”). The gains or losses from derivative contracts that were designated as highly effective cash flow hedges related to inventory purchases were recorded in cost of products when the inventory is sold to an unrelated third party. Otherwise, they were recorded in earnings when the exchange rates change. As of December 31, 2025 and 2024, the balance in AOCI related to foreign exchange derivative transactions was zero.</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accounting guidance for derivatives and hedging requires companies to recognize all derivative instruments as either assets or liabilities at fair value in the Consolidated Balance Sheets. The Company designates foreign exchange contracts as cash flow hedges of forecasted transactions when they are determined to be highly effective at inception.</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As of September 30, 2023, it was determined that the transactions underlying the unrealized gains on terminated interest rate swap agreement for the previous credit facility reported in Accumulated other comprehensive income were probable of not occurring under ASC 815,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 As such, $18 million of unrealized gains were recognized in Interest Expense in the Consolidated Statements of Operations for the year ended December 31, 2023. As of December 31, 2025 and December 31, 2024, the balance in AOCI related to Interest Rate Derivatives was zero.</w:t>
      </w:r>
    </w:p>
    <w:p>
      <w:pPr>
        <w:sectPr>
          <w:pgSz w:w="12240" w:h="15840" w:orient="portrait"/>
          <w:cols w:equalWidth="0" w:num="1">
            <w:col w:w="10240"/>
          </w:cols>
          <w:pgMar w:left="1000" w:top="22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240"/>
          </w:cols>
          <w:pgMar w:left="1000" w:top="220" w:right="100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tables provide information on the location and amounts of derivative fair values in the Consolidated Balance Sheets: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960" w:type="dxa"/>
            <w:vAlign w:val="bottom"/>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Values of Derivative Instruments</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6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8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8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2960" w:type="dxa"/>
            <w:vAlign w:val="bottom"/>
            <w:vMerge w:val="continue"/>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80" w:type="dxa"/>
            <w:vAlign w:val="bottom"/>
          </w:tcPr>
          <w:p>
            <w:pPr>
              <w:spacing w:after="0"/>
              <w:rPr>
                <w:sz w:val="18"/>
                <w:szCs w:val="18"/>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0" w:type="dxa"/>
            <w:vAlign w:val="bottom"/>
          </w:tcPr>
          <w:p>
            <w:pPr>
              <w:spacing w:after="0"/>
              <w:rPr>
                <w:sz w:val="18"/>
                <w:szCs w:val="18"/>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97"/>
        </w:trPr>
        <w:tc>
          <w:tcPr>
            <w:tcW w:w="2960" w:type="dxa"/>
            <w:vAlign w:val="bottom"/>
          </w:tcPr>
          <w:p>
            <w:pPr>
              <w:spacing w:after="0" w:line="197" w:lineRule="exact"/>
              <w:rPr>
                <w:sz w:val="20"/>
                <w:szCs w:val="20"/>
                <w:color w:val="auto"/>
              </w:rPr>
            </w:pPr>
            <w:r>
              <w:rPr>
                <w:rFonts w:ascii="Times New Roman" w:cs="Times New Roman" w:eastAsia="Times New Roman" w:hAnsi="Times New Roman"/>
                <w:sz w:val="20"/>
                <w:szCs w:val="20"/>
                <w:b w:val="1"/>
                <w:bCs w:val="1"/>
                <w:color w:val="auto"/>
              </w:rPr>
              <w:t>Derivatives not designated as</w:t>
            </w: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hedging instruments</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1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Prepaid and 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0"/>
                <w:szCs w:val="20"/>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8"/>
        </w:trPr>
        <w:tc>
          <w:tcPr>
            <w:tcW w:w="2960" w:type="dxa"/>
            <w:vAlign w:val="bottom"/>
            <w:vMerge w:val="continue"/>
          </w:tcPr>
          <w:p>
            <w:pPr>
              <w:spacing w:after="0"/>
              <w:rPr>
                <w:sz w:val="22"/>
                <w:szCs w:val="22"/>
                <w:color w:val="auto"/>
              </w:rPr>
            </w:pPr>
          </w:p>
        </w:tc>
        <w:tc>
          <w:tcPr>
            <w:tcW w:w="1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current assets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96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Total derivatives not designated</w:t>
            </w:r>
          </w:p>
        </w:tc>
        <w:tc>
          <w:tcPr>
            <w:tcW w:w="1940" w:type="dxa"/>
            <w:vAlign w:val="bottom"/>
          </w:tcPr>
          <w:p>
            <w:pPr>
              <w:spacing w:after="0"/>
              <w:rPr>
                <w:sz w:val="17"/>
                <w:szCs w:val="17"/>
                <w:color w:val="auto"/>
              </w:rPr>
            </w:pP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91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135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0"/>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hedging instruments</w:t>
            </w:r>
          </w:p>
        </w:tc>
        <w:tc>
          <w:tcPr>
            <w:tcW w:w="1940" w:type="dxa"/>
            <w:vAlign w:val="bottom"/>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50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derivatives</w:t>
            </w:r>
          </w:p>
        </w:tc>
        <w:tc>
          <w:tcPr>
            <w:tcW w:w="1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2960" w:type="dxa"/>
            <w:vAlign w:val="bottom"/>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Values of Derivative Instruments</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6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8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8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2960" w:type="dxa"/>
            <w:vAlign w:val="bottom"/>
            <w:vMerge w:val="continue"/>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w:t>
            </w:r>
          </w:p>
        </w:tc>
        <w:tc>
          <w:tcPr>
            <w:tcW w:w="80" w:type="dxa"/>
            <w:vAlign w:val="bottom"/>
          </w:tcPr>
          <w:p>
            <w:pPr>
              <w:spacing w:after="0"/>
              <w:rPr>
                <w:sz w:val="18"/>
                <w:szCs w:val="18"/>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0" w:type="dxa"/>
            <w:vAlign w:val="bottom"/>
          </w:tcPr>
          <w:p>
            <w:pPr>
              <w:spacing w:after="0"/>
              <w:rPr>
                <w:sz w:val="18"/>
                <w:szCs w:val="18"/>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197"/>
        </w:trPr>
        <w:tc>
          <w:tcPr>
            <w:tcW w:w="2960" w:type="dxa"/>
            <w:vAlign w:val="bottom"/>
          </w:tcPr>
          <w:p>
            <w:pPr>
              <w:spacing w:after="0" w:line="197" w:lineRule="exact"/>
              <w:rPr>
                <w:sz w:val="20"/>
                <w:szCs w:val="20"/>
                <w:color w:val="auto"/>
              </w:rPr>
            </w:pPr>
            <w:r>
              <w:rPr>
                <w:rFonts w:ascii="Times New Roman" w:cs="Times New Roman" w:eastAsia="Times New Roman" w:hAnsi="Times New Roman"/>
                <w:sz w:val="20"/>
                <w:szCs w:val="20"/>
                <w:b w:val="1"/>
                <w:bCs w:val="1"/>
                <w:color w:val="auto"/>
              </w:rPr>
              <w:t>Derivatives not designated as</w:t>
            </w: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hedging instruments</w:t>
            </w:r>
          </w:p>
        </w:tc>
        <w:tc>
          <w:tcPr>
            <w:tcW w:w="1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1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Prepaid and 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2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8"/>
        </w:trPr>
        <w:tc>
          <w:tcPr>
            <w:tcW w:w="2960" w:type="dxa"/>
            <w:vAlign w:val="bottom"/>
            <w:vMerge w:val="continue"/>
          </w:tcPr>
          <w:p>
            <w:pPr>
              <w:spacing w:after="0"/>
              <w:rPr>
                <w:sz w:val="22"/>
                <w:szCs w:val="22"/>
                <w:color w:val="auto"/>
              </w:rPr>
            </w:pPr>
          </w:p>
        </w:tc>
        <w:tc>
          <w:tcPr>
            <w:tcW w:w="1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current assets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960" w:type="dxa"/>
            <w:vAlign w:val="bottom"/>
          </w:tcPr>
          <w:p>
            <w:pPr>
              <w:spacing w:after="0" w:line="201" w:lineRule="exact"/>
              <w:rPr>
                <w:sz w:val="20"/>
                <w:szCs w:val="20"/>
                <w:color w:val="auto"/>
              </w:rPr>
            </w:pPr>
            <w:r>
              <w:rPr>
                <w:rFonts w:ascii="Times New Roman" w:cs="Times New Roman" w:eastAsia="Times New Roman" w:hAnsi="Times New Roman"/>
                <w:sz w:val="20"/>
                <w:szCs w:val="20"/>
                <w:b w:val="1"/>
                <w:bCs w:val="1"/>
                <w:color w:val="auto"/>
              </w:rPr>
              <w:t>Total derivatives not designated</w:t>
            </w:r>
          </w:p>
        </w:tc>
        <w:tc>
          <w:tcPr>
            <w:tcW w:w="1940" w:type="dxa"/>
            <w:vAlign w:val="bottom"/>
          </w:tcPr>
          <w:p>
            <w:pPr>
              <w:spacing w:after="0"/>
              <w:rPr>
                <w:sz w:val="17"/>
                <w:szCs w:val="17"/>
                <w:color w:val="auto"/>
              </w:rPr>
            </w:pP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20"/>
                <w:szCs w:val="20"/>
                <w:color w:val="auto"/>
              </w:rPr>
              <w:t>89</w:t>
            </w:r>
          </w:p>
        </w:tc>
        <w:tc>
          <w:tcPr>
            <w:tcW w:w="60" w:type="dxa"/>
            <w:vAlign w:val="bottom"/>
            <w:vMerge w:val="restart"/>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vMerge w:val="restart"/>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hedging instruments</w:t>
            </w:r>
          </w:p>
        </w:tc>
        <w:tc>
          <w:tcPr>
            <w:tcW w:w="194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500" w:type="dxa"/>
            <w:vAlign w:val="bottom"/>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derivatives</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-3012440</wp:posOffset>
            </wp:positionV>
            <wp:extent cx="6524625" cy="1155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7">
                      <a:extLst>
                        <a:ext uri="{28A0092B-C50C-407E-A947-70E740481C1C}"/>
                      </a:extLst>
                    </a:blip>
                    <a:srcRect/>
                    <a:stretch>
                      <a:fillRect/>
                    </a:stretch>
                  </pic:blipFill>
                  <pic:spPr bwMode="auto">
                    <a:xfrm>
                      <a:off x="0" y="0"/>
                      <a:ext cx="6524625" cy="11557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-1145540</wp:posOffset>
            </wp:positionV>
            <wp:extent cx="6524625" cy="1165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8">
                      <a:extLst>
                        <a:ext uri="{28A0092B-C50C-407E-A947-70E740481C1C}"/>
                      </a:extLst>
                    </a:blip>
                    <a:srcRect/>
                    <a:stretch>
                      <a:fillRect/>
                    </a:stretch>
                  </pic:blipFill>
                  <pic:spPr bwMode="auto">
                    <a:xfrm>
                      <a:off x="0" y="0"/>
                      <a:ext cx="6524625" cy="1165225"/>
                    </a:xfrm>
                    <a:prstGeom prst="rect">
                      <a:avLst/>
                    </a:prstGeom>
                    <a:noFill/>
                  </pic:spPr>
                </pic:pic>
              </a:graphicData>
            </a:graphic>
          </wp:anchor>
        </w:drawing>
      </w:r>
    </w:p>
    <w:p>
      <w:pPr>
        <w:spacing w:after="0" w:line="34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 effects of derivative instruments on the Consolidated Statements of Operations for the years ended December 31, 2025, 2024, and 2023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Gain (Loss) Recognized in the Consolidated</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38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3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not Designated as</w:t>
            </w: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 of Gain (Loss) Recognized in the</w:t>
            </w:r>
          </w:p>
        </w:tc>
        <w:tc>
          <w:tcPr>
            <w:tcW w:w="6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14"/>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Hedging Instruments</w:t>
            </w: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60" w:type="dxa"/>
            <w:vAlign w:val="bottom"/>
          </w:tcPr>
          <w:p>
            <w:pPr>
              <w:spacing w:after="0"/>
              <w:rPr>
                <w:sz w:val="18"/>
                <w:szCs w:val="18"/>
                <w:color w:val="auto"/>
              </w:rPr>
            </w:pPr>
          </w:p>
        </w:tc>
        <w:tc>
          <w:tcPr>
            <w:tcW w:w="14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77"/>
        </w:trPr>
        <w:tc>
          <w:tcPr>
            <w:tcW w:w="2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3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820" w:type="dxa"/>
            <w:vAlign w:val="bottom"/>
          </w:tcPr>
          <w:p>
            <w:pPr>
              <w:jc w:val="right"/>
              <w:ind w:right="475"/>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(8)</w:t>
            </w: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-194310</wp:posOffset>
            </wp:positionV>
            <wp:extent cx="6540500" cy="215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9">
                      <a:extLst>
                        <a:ext uri="{28A0092B-C50C-407E-A947-70E740481C1C}"/>
                      </a:extLst>
                    </a:blip>
                    <a:srcRect/>
                    <a:stretch>
                      <a:fillRect/>
                    </a:stretch>
                  </pic:blipFill>
                  <pic:spPr bwMode="auto">
                    <a:xfrm>
                      <a:off x="0" y="0"/>
                      <a:ext cx="6540500" cy="2159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3565525</wp:posOffset>
                </wp:positionH>
                <wp:positionV relativeFrom="paragraph">
                  <wp:posOffset>-182245</wp:posOffset>
                </wp:positionV>
                <wp:extent cx="19431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3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0.75pt,-14.3499pt" to="433.75pt,-14.3499pt" o:allowincell="f" strokecolor="#000000" strokeweight="0pt"/>
            </w:pict>
          </mc:Fallback>
        </mc:AlternateConten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7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is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Consolidated Balance Sheets. Exposure to credit risk is managed through credit approvals, credit limits, selecting major international financial institutions as counterparties to hedging transactions and monitoring procedures. The Company’s business often involves large transactions with customers, and if one or more of those customers were to default on its obligations under applicable contractual arrangements, the Company could be exposed to potentially significant losses. However, management believes that the reserves for potential losses are adequate. As of December 31, 2025 and 2024, the Company did not have any major concentration of credit risk related to financial instruments.</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260"/>
          </w:cols>
          <w:pgMar w:left="1000" w:top="220" w:right="98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ACCUMULATED OTHER COMPREHENSIVE INCOME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Accumulated Other Comprehensive Income (</w:t>
      </w:r>
      <w:r>
        <w:rPr>
          <w:rFonts w:ascii="Times New Roman" w:cs="Times New Roman" w:eastAsia="Times New Roman" w:hAnsi="Times New Roman"/>
          <w:sz w:val="20"/>
          <w:szCs w:val="20"/>
          <w:color w:val="auto"/>
        </w:rPr>
        <w:t>“AOCI”</w:t>
      </w:r>
      <w:r>
        <w:rPr>
          <w:rFonts w:ascii="Times New Roman" w:cs="Times New Roman" w:eastAsia="Times New Roman" w:hAnsi="Times New Roman"/>
          <w:sz w:val="20"/>
          <w:szCs w:val="20"/>
          <w:b w:val="1"/>
          <w:bCs w:val="1"/>
          <w:color w:val="auto"/>
        </w:rPr>
        <w:t>) by Component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in AOCI for the years ended December 31 are as follows: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23"/>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9"/>
              </w:rPr>
              <w:t>Changes 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Changes in Fair</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3"/>
                <w:szCs w:val="13"/>
                <w:color w:val="auto"/>
              </w:rPr>
            </w:pPr>
          </w:p>
        </w:tc>
        <w:tc>
          <w:tcPr>
            <w:tcW w:w="1200" w:type="dxa"/>
            <w:vAlign w:val="bottom"/>
          </w:tcPr>
          <w:p>
            <w:pPr>
              <w:jc w:val="center"/>
              <w:ind w:right="103"/>
              <w:spacing w:after="0" w:line="160"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20" w:type="dxa"/>
            <w:vAlign w:val="bottom"/>
          </w:tcPr>
          <w:p>
            <w:pPr>
              <w:spacing w:after="0"/>
              <w:rPr>
                <w:sz w:val="13"/>
                <w:szCs w:val="13"/>
                <w:color w:val="auto"/>
              </w:rPr>
            </w:pPr>
          </w:p>
        </w:tc>
        <w:tc>
          <w:tcPr>
            <w:tcW w:w="144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Employee Benefit</w:t>
            </w:r>
          </w:p>
        </w:tc>
        <w:tc>
          <w:tcPr>
            <w:tcW w:w="100" w:type="dxa"/>
            <w:vAlign w:val="bottom"/>
          </w:tcPr>
          <w:p>
            <w:pPr>
              <w:spacing w:after="0"/>
              <w:rPr>
                <w:sz w:val="13"/>
                <w:szCs w:val="13"/>
                <w:color w:val="auto"/>
              </w:rPr>
            </w:pPr>
          </w:p>
        </w:tc>
        <w:tc>
          <w:tcPr>
            <w:tcW w:w="142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Value of Effective</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44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6"/>
                <w:szCs w:val="16"/>
                <w:b w:val="1"/>
                <w:bCs w:val="1"/>
                <w:color w:val="auto"/>
                <w:w w:val="96"/>
              </w:rPr>
              <w:t>Plans</w:t>
            </w:r>
          </w:p>
        </w:tc>
        <w:tc>
          <w:tcPr>
            <w:tcW w:w="100" w:type="dxa"/>
            <w:vAlign w:val="bottom"/>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Cash Flow Hedges</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(404)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(300)</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360"/>
              <w:spacing w:after="0" w:line="217" w:lineRule="exact"/>
              <w:rPr>
                <w:sz w:val="20"/>
                <w:szCs w:val="20"/>
                <w:color w:val="auto"/>
              </w:rPr>
            </w:pPr>
            <w:r>
              <w:rPr>
                <w:rFonts w:ascii="Times New Roman" w:cs="Times New Roman" w:eastAsia="Times New Roman" w:hAnsi="Times New Roman"/>
                <w:sz w:val="20"/>
                <w:szCs w:val="20"/>
                <w:color w:val="auto"/>
              </w:rPr>
              <w:t>Other comprehensive (loss) income before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255"/>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reclassifications</w:t>
            </w:r>
          </w:p>
        </w:tc>
        <w:tc>
          <w:tcPr>
            <w:tcW w:w="22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Amounts reclassified from AOCI</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76"/>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Net current period other comprehensive (loss)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303"/>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Spin-Off of NCR Atleos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60"/>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(419)</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Other comprehensive (loss) income before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40" w:type="dxa"/>
            <w:vAlign w:val="bottom"/>
            <w:vMerge w:val="continue"/>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60"/>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reclassifications</w:t>
            </w:r>
          </w:p>
        </w:tc>
        <w:tc>
          <w:tcPr>
            <w:tcW w:w="22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Amounts reclassified from AOCI</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76"/>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Net current period other comprehensive (loss)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303"/>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Spin-Off of NCR Atleos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4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(469)</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Other comprehensive (loss) income before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40" w:type="dxa"/>
            <w:vAlign w:val="bottom"/>
            <w:vMerge w:val="continue"/>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0" w:type="dxa"/>
            <w:vAlign w:val="bottom"/>
          </w:tcPr>
          <w:p>
            <w:pPr>
              <w:spacing w:after="0"/>
              <w:rPr>
                <w:sz w:val="1"/>
                <w:szCs w:val="1"/>
                <w:color w:val="auto"/>
              </w:rPr>
            </w:pPr>
          </w:p>
        </w:tc>
      </w:tr>
      <w:tr>
        <w:trPr>
          <w:trHeight w:val="260"/>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reclassifications</w:t>
            </w:r>
          </w:p>
        </w:tc>
        <w:tc>
          <w:tcPr>
            <w:tcW w:w="22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2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Amounts reclassified from AOCI</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76"/>
        </w:trPr>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Net current period other comprehensive (loss)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0" w:type="dxa"/>
            <w:vAlign w:val="bottom"/>
          </w:tcPr>
          <w:p>
            <w:pPr>
              <w:spacing w:after="0"/>
              <w:rPr>
                <w:sz w:val="1"/>
                <w:szCs w:val="1"/>
                <w:color w:val="auto"/>
              </w:rPr>
            </w:pPr>
          </w:p>
        </w:tc>
      </w:tr>
      <w:tr>
        <w:trPr>
          <w:trHeight w:val="303"/>
        </w:trPr>
        <w:tc>
          <w:tcPr>
            <w:tcW w:w="44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Spin-Off of NCR Atleos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0" w:type="dxa"/>
            <w:vAlign w:val="bottom"/>
          </w:tcPr>
          <w:p>
            <w:pPr>
              <w:spacing w:after="0"/>
              <w:rPr>
                <w:sz w:val="1"/>
                <w:szCs w:val="1"/>
                <w:color w:val="auto"/>
              </w:rPr>
            </w:pPr>
          </w:p>
        </w:tc>
      </w:tr>
      <w:tr>
        <w:trPr>
          <w:trHeight w:val="260"/>
        </w:trPr>
        <w:tc>
          <w:tcPr>
            <w:tcW w:w="4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-3412490</wp:posOffset>
            </wp:positionV>
            <wp:extent cx="6562725" cy="3432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0">
                      <a:extLst>
                        <a:ext uri="{28A0092B-C50C-407E-A947-70E740481C1C}"/>
                      </a:extLst>
                    </a:blip>
                    <a:srcRect/>
                    <a:stretch>
                      <a:fillRect/>
                    </a:stretch>
                  </pic:blipFill>
                  <pic:spPr bwMode="auto">
                    <a:xfrm>
                      <a:off x="0" y="0"/>
                      <a:ext cx="6562725" cy="343217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Reclassifications Out of AOCI</w:t>
      </w:r>
    </w:p>
    <w:p>
      <w:pPr>
        <w:spacing w:after="0" w:line="2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There were no reclassifications out of AOCI for the year ended December 31, 2025. The reclassifications out of AOCI for the years ended December 31 2024 and 2023 are as follows:</w:t>
      </w:r>
    </w:p>
    <w:p>
      <w:pPr>
        <w:spacing w:after="0" w:line="37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5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Employee Benefit Plans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Actuarial</w:t>
            </w:r>
          </w:p>
        </w:tc>
        <w:tc>
          <w:tcPr>
            <w:tcW w:w="10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 of</w:t>
            </w:r>
          </w:p>
        </w:tc>
        <w:tc>
          <w:tcPr>
            <w:tcW w:w="80" w:type="dxa"/>
            <w:vAlign w:val="bottom"/>
          </w:tcPr>
          <w:p>
            <w:pPr>
              <w:spacing w:after="0"/>
              <w:rPr>
                <w:sz w:val="24"/>
                <w:szCs w:val="24"/>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Effective Cash</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3"/>
                <w:szCs w:val="13"/>
                <w:color w:val="auto"/>
              </w:rPr>
            </w:pPr>
          </w:p>
        </w:tc>
        <w:tc>
          <w:tcPr>
            <w:tcW w:w="1040" w:type="dxa"/>
            <w:vAlign w:val="bottom"/>
          </w:tcPr>
          <w:p>
            <w:pPr>
              <w:jc w:val="center"/>
              <w:ind w:right="108"/>
              <w:spacing w:after="0" w:line="160" w:lineRule="exact"/>
              <w:rPr>
                <w:sz w:val="20"/>
                <w:szCs w:val="20"/>
                <w:color w:val="auto"/>
              </w:rPr>
            </w:pPr>
            <w:r>
              <w:rPr>
                <w:rFonts w:ascii="Times New Roman" w:cs="Times New Roman" w:eastAsia="Times New Roman" w:hAnsi="Times New Roman"/>
                <w:sz w:val="16"/>
                <w:szCs w:val="16"/>
                <w:b w:val="1"/>
                <w:bCs w:val="1"/>
                <w:color w:val="auto"/>
                <w:w w:val="98"/>
              </w:rPr>
              <w:t>Losses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65"/>
              <w:spacing w:after="0" w:line="160" w:lineRule="exact"/>
              <w:rPr>
                <w:sz w:val="20"/>
                <w:szCs w:val="20"/>
                <w:color w:val="auto"/>
              </w:rPr>
            </w:pPr>
            <w:r>
              <w:rPr>
                <w:rFonts w:ascii="Times New Roman" w:cs="Times New Roman" w:eastAsia="Times New Roman" w:hAnsi="Times New Roman"/>
                <w:sz w:val="16"/>
                <w:szCs w:val="16"/>
                <w:b w:val="1"/>
                <w:bCs w:val="1"/>
                <w:color w:val="auto"/>
                <w:w w:val="97"/>
              </w:rPr>
              <w:t>Prior Service</w:t>
            </w:r>
          </w:p>
        </w:tc>
        <w:tc>
          <w:tcPr>
            <w:tcW w:w="8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Flow Hedges</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060" w:type="dxa"/>
            <w:vAlign w:val="bottom"/>
          </w:tcPr>
          <w:p>
            <w:pPr>
              <w:spacing w:after="0"/>
              <w:rPr>
                <w:sz w:val="20"/>
                <w:szCs w:val="20"/>
                <w:color w:val="auto"/>
              </w:rPr>
            </w:pPr>
            <w:r>
              <w:rPr>
                <w:rFonts w:ascii="Times New Roman" w:cs="Times New Roman" w:eastAsia="Times New Roman" w:hAnsi="Times New Roman"/>
                <w:sz w:val="20"/>
                <w:szCs w:val="20"/>
                <w:color w:val="auto"/>
                <w:shd w:val="clear" w:color="auto" w:fill="CCEEFF"/>
              </w:rPr>
              <w:t xml:space="preserve">Affected </w:t>
            </w:r>
            <w:r>
              <w:rPr>
                <w:rFonts w:ascii="Times New Roman" w:cs="Times New Roman" w:eastAsia="Times New Roman" w:hAnsi="Times New Roman"/>
                <w:sz w:val="20"/>
                <w:szCs w:val="20"/>
                <w:color w:val="auto"/>
              </w:rPr>
              <w:t>line in Consolidated Statement of Operations:</w:t>
            </w: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Cost of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Pr>
          <w:p>
            <w:pPr>
              <w:spacing w:after="0"/>
              <w:rPr>
                <w:sz w:val="24"/>
                <w:szCs w:val="24"/>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0"/>
        </w:trPr>
        <w:tc>
          <w:tcPr>
            <w:tcW w:w="5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180" w:type="dxa"/>
            <w:vAlign w:val="bottom"/>
          </w:tcPr>
          <w:p>
            <w:pPr>
              <w:spacing w:after="0"/>
              <w:rPr>
                <w:sz w:val="24"/>
                <w:szCs w:val="24"/>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180" w:type="dxa"/>
            <w:vAlign w:val="bottom"/>
          </w:tcPr>
          <w:p>
            <w:pPr>
              <w:spacing w:after="0"/>
              <w:rPr>
                <w:sz w:val="24"/>
                <w:szCs w:val="24"/>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5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before tax</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Tax expense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5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reclassifications, net of tax</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-1688465</wp:posOffset>
            </wp:positionV>
            <wp:extent cx="6534150" cy="17081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1">
                      <a:extLst>
                        <a:ext uri="{28A0092B-C50C-407E-A947-70E740481C1C}"/>
                      </a:extLst>
                    </a:blip>
                    <a:srcRect/>
                    <a:stretch>
                      <a:fillRect/>
                    </a:stretch>
                  </pic:blipFill>
                  <pic:spPr bwMode="auto">
                    <a:xfrm>
                      <a:off x="0" y="0"/>
                      <a:ext cx="6534150" cy="1708150"/>
                    </a:xfrm>
                    <a:prstGeom prst="rect">
                      <a:avLst/>
                    </a:prstGeom>
                    <a:noFill/>
                  </pic:spPr>
                </pic:pic>
              </a:graphicData>
            </a:graphic>
          </wp:anchor>
        </w:drawing>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260"/>
          </w:cols>
          <w:pgMar w:left="1000" w:top="220" w:right="980" w:bottom="0" w:gutter="0" w:footer="0" w:header="0"/>
          <w:type w:val="continuous"/>
        </w:sectPr>
      </w:pPr>
    </w:p>
    <w:bookmarkStart w:id="115" w:name="page116"/>
    <w:bookmarkEnd w:id="115"/>
    <w:tbl>
      <w:tblPr>
        <w:tblLayout w:type="fixed"/>
        <w:tblInd w:w="10" w:type="dxa"/>
        <w:tblCellMar>
          <w:top w:w="0" w:type="dxa"/>
          <w:left w:w="0" w:type="dxa"/>
          <w:bottom w:w="0" w:type="dxa"/>
          <w:right w:w="0" w:type="dxa"/>
        </w:tblCellMar>
      </w:tblPr>
      <w:tr>
        <w:trPr>
          <w:trHeight w:val="184"/>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1"/>
        </w:trPr>
        <w:tc>
          <w:tcPr>
            <w:tcW w:w="1140" w:type="dxa"/>
            <w:vAlign w:val="bottom"/>
            <w:tcBorders>
              <w:top w:val="single" w:sz="8" w:color="0000FF"/>
            </w:tcBorders>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45"/>
              <w:spacing w:after="0"/>
              <w:rPr>
                <w:sz w:val="20"/>
                <w:szCs w:val="20"/>
                <w:color w:val="auto"/>
              </w:rPr>
            </w:pPr>
            <w:r>
              <w:rPr>
                <w:rFonts w:ascii="Times New Roman" w:cs="Times New Roman" w:eastAsia="Times New Roman" w:hAnsi="Times New Roman"/>
                <w:sz w:val="16"/>
                <w:szCs w:val="16"/>
                <w:b w:val="1"/>
                <w:bCs w:val="1"/>
                <w:color w:val="auto"/>
              </w:rPr>
              <w:t>Employee Benefit Plans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Actuarial</w:t>
            </w:r>
          </w:p>
        </w:tc>
        <w:tc>
          <w:tcPr>
            <w:tcW w:w="8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 of</w:t>
            </w:r>
          </w:p>
        </w:tc>
        <w:tc>
          <w:tcPr>
            <w:tcW w:w="80" w:type="dxa"/>
            <w:vAlign w:val="bottom"/>
          </w:tcPr>
          <w:p>
            <w:pPr>
              <w:spacing w:after="0"/>
              <w:rPr>
                <w:sz w:val="24"/>
                <w:szCs w:val="24"/>
                <w:color w:val="auto"/>
              </w:rPr>
            </w:pPr>
          </w:p>
        </w:tc>
        <w:tc>
          <w:tcPr>
            <w:tcW w:w="13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Effective Cash</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3"/>
                <w:szCs w:val="13"/>
                <w:color w:val="auto"/>
              </w:rPr>
            </w:pPr>
          </w:p>
        </w:tc>
        <w:tc>
          <w:tcPr>
            <w:tcW w:w="104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6"/>
                <w:szCs w:val="16"/>
                <w:b w:val="1"/>
                <w:bCs w:val="1"/>
                <w:color w:val="auto"/>
              </w:rPr>
              <w:t>Losses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45"/>
              <w:spacing w:after="0" w:line="160" w:lineRule="exact"/>
              <w:rPr>
                <w:sz w:val="20"/>
                <w:szCs w:val="20"/>
                <w:color w:val="auto"/>
              </w:rPr>
            </w:pPr>
            <w:r>
              <w:rPr>
                <w:rFonts w:ascii="Times New Roman" w:cs="Times New Roman" w:eastAsia="Times New Roman" w:hAnsi="Times New Roman"/>
                <w:sz w:val="16"/>
                <w:szCs w:val="16"/>
                <w:b w:val="1"/>
                <w:bCs w:val="1"/>
                <w:color w:val="auto"/>
                <w:w w:val="99"/>
              </w:rPr>
              <w:t>Prior Service</w:t>
            </w:r>
          </w:p>
        </w:tc>
        <w:tc>
          <w:tcPr>
            <w:tcW w:w="80" w:type="dxa"/>
            <w:vAlign w:val="bottom"/>
          </w:tcPr>
          <w:p>
            <w:pPr>
              <w:spacing w:after="0"/>
              <w:rPr>
                <w:sz w:val="13"/>
                <w:szCs w:val="13"/>
                <w:color w:val="auto"/>
              </w:rPr>
            </w:pPr>
          </w:p>
        </w:tc>
        <w:tc>
          <w:tcPr>
            <w:tcW w:w="130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1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65"/>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Flow Hedges</w:t>
            </w: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shd w:val="clear" w:color="auto" w:fill="CCEEFF"/>
              </w:rPr>
              <w:t xml:space="preserve">Affected </w:t>
            </w:r>
            <w:r>
              <w:rPr>
                <w:rFonts w:ascii="Times New Roman" w:cs="Times New Roman" w:eastAsia="Times New Roman" w:hAnsi="Times New Roman"/>
                <w:sz w:val="20"/>
                <w:szCs w:val="20"/>
                <w:color w:val="auto"/>
              </w:rPr>
              <w:t>line in Consolidated Statement of Operations:</w:t>
            </w: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Cost of products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Cost of services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00"/>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88"/>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45"/>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Total before tax</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1"/>
                <w:szCs w:val="21"/>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0"/>
                <w:szCs w:val="20"/>
                <w:color w:val="auto"/>
              </w:rPr>
              <w:t>Tax expense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1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45"/>
        </w:trPr>
        <w:tc>
          <w:tcPr>
            <w:tcW w:w="51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Total reclassifications, net of tax</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-1678940</wp:posOffset>
            </wp:positionV>
            <wp:extent cx="6524625" cy="16986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2">
                      <a:extLst>
                        <a:ext uri="{28A0092B-C50C-407E-A947-70E740481C1C}"/>
                      </a:extLst>
                    </a:blip>
                    <a:srcRect/>
                    <a:stretch>
                      <a:fillRect/>
                    </a:stretch>
                  </pic:blipFill>
                  <pic:spPr bwMode="auto">
                    <a:xfrm>
                      <a:off x="0" y="0"/>
                      <a:ext cx="6524625" cy="1698625"/>
                    </a:xfrm>
                    <a:prstGeom prst="rect">
                      <a:avLst/>
                    </a:prstGeom>
                    <a:noFill/>
                  </pic:spPr>
                </pic:pic>
              </a:graphicData>
            </a:graphic>
          </wp:anchor>
        </w:drawing>
      </w:r>
    </w:p>
    <w:p>
      <w:pPr>
        <w:spacing w:after="0" w:line="2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17. SUPPLEMENTAL FINANCIAL INFORMATION</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components of Other income (expense), net are summarized as follows for the years ended December 31:</w:t>
      </w:r>
    </w:p>
    <w:p>
      <w:pPr>
        <w:spacing w:after="0" w:line="200" w:lineRule="exact"/>
        <w:rPr>
          <w:sz w:val="20"/>
          <w:szCs w:val="20"/>
          <w:color w:val="auto"/>
        </w:rPr>
      </w:pPr>
    </w:p>
    <w:p>
      <w:pPr>
        <w:spacing w:after="0" w:line="22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6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6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30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fluctuations and foreign exchange contracts</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300"/>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Bank-related fees</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336"/>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Employee benefit plans</w:t>
            </w:r>
            <w:r>
              <w:rPr>
                <w:rFonts w:ascii="Times New Roman" w:cs="Times New Roman" w:eastAsia="Times New Roman" w:hAnsi="Times New Roman"/>
                <w:sz w:val="26"/>
                <w:szCs w:val="26"/>
                <w:color w:val="auto"/>
                <w:vertAlign w:val="superscript"/>
              </w:rPr>
              <w:t>(1)</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67"/>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Other, net</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60"/>
        </w:trPr>
        <w:tc>
          <w:tcPr>
            <w:tcW w:w="65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other income (expense), net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0"/>
        </w:trPr>
        <w:tc>
          <w:tcPr>
            <w:tcW w:w="6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-1364615</wp:posOffset>
            </wp:positionV>
            <wp:extent cx="6524625" cy="1384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3">
                      <a:extLst>
                        <a:ext uri="{28A0092B-C50C-407E-A947-70E740481C1C}"/>
                      </a:extLst>
                    </a:blip>
                    <a:srcRect/>
                    <a:stretch>
                      <a:fillRect/>
                    </a:stretch>
                  </pic:blipFill>
                  <pic:spPr bwMode="auto">
                    <a:xfrm>
                      <a:off x="0" y="0"/>
                      <a:ext cx="6524625" cy="1384300"/>
                    </a:xfrm>
                    <a:prstGeom prst="rect">
                      <a:avLst/>
                    </a:prstGeom>
                    <a:noFill/>
                  </pic:spPr>
                </pic:pic>
              </a:graphicData>
            </a:graphic>
          </wp:anchor>
        </w:drawing>
      </w:r>
    </w:p>
    <w:p>
      <w:pPr>
        <w:spacing w:after="0" w:line="6" w:lineRule="exact"/>
        <w:rPr>
          <w:sz w:val="20"/>
          <w:szCs w:val="20"/>
          <w:color w:val="auto"/>
        </w:rPr>
      </w:pPr>
    </w:p>
    <w:p>
      <w:pPr>
        <w:jc w:val="both"/>
        <w:ind w:left="10" w:right="20" w:hanging="10"/>
        <w:spacing w:after="0" w:line="235" w:lineRule="auto"/>
        <w:tabs>
          <w:tab w:leader="none" w:pos="154" w:val="left"/>
        </w:tabs>
        <w:numPr>
          <w:ilvl w:val="0"/>
          <w:numId w:val="6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the year ended December 31, 2025, the actuarial gain related to the remeasurement of our pension plan assets and liabilities was $13 million. For the year ended December 31, 2024, the actuarial gain related to the remeasurement of our pension plan assets and liabilities was $12 million. For the year ended December 31, 2023, the actuarial loss related to the remeasurement of our pension plan assets and liabilities was $7 million.</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components of inventory are summarized as follows:</w:t>
      </w:r>
    </w:p>
    <w:p>
      <w:pPr>
        <w:spacing w:after="0" w:line="365"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8"/>
                <w:szCs w:val="18"/>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58"/>
        </w:trPr>
        <w:tc>
          <w:tcPr>
            <w:tcW w:w="7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Inventories</w:t>
            </w:r>
          </w:p>
        </w:tc>
        <w:tc>
          <w:tcPr>
            <w:tcW w:w="640" w:type="dxa"/>
            <w:vAlign w:val="bottom"/>
            <w:vMerge w:val="restart"/>
          </w:tcPr>
          <w:p>
            <w:pPr>
              <w:jc w:val="right"/>
              <w:ind w:right="407"/>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w:t>
            </w:r>
          </w:p>
        </w:tc>
        <w:tc>
          <w:tcPr>
            <w:tcW w:w="7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6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Work in process and raw materials</w:t>
            </w:r>
          </w:p>
        </w:tc>
        <w:tc>
          <w:tcPr>
            <w:tcW w:w="64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6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83</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86"/>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Service parts</w:t>
            </w: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130</w:t>
            </w:r>
          </w:p>
        </w:tc>
        <w:tc>
          <w:tcPr>
            <w:tcW w:w="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45"/>
        </w:trPr>
        <w:tc>
          <w:tcPr>
            <w:tcW w:w="7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inventories</w:t>
            </w:r>
          </w:p>
        </w:tc>
        <w:tc>
          <w:tcPr>
            <w:tcW w:w="640" w:type="dxa"/>
            <w:vAlign w:val="bottom"/>
          </w:tcPr>
          <w:p>
            <w:pPr>
              <w:jc w:val="right"/>
              <w:ind w:right="407"/>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217</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-916940</wp:posOffset>
            </wp:positionV>
            <wp:extent cx="6553200" cy="9366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4">
                      <a:extLst>
                        <a:ext uri="{28A0092B-C50C-407E-A947-70E740481C1C}"/>
                      </a:extLst>
                    </a:blip>
                    <a:srcRect/>
                    <a:stretch>
                      <a:fillRect/>
                    </a:stretch>
                  </pic:blipFill>
                  <pic:spPr bwMode="auto">
                    <a:xfrm>
                      <a:off x="0" y="0"/>
                      <a:ext cx="6553200" cy="936625"/>
                    </a:xfrm>
                    <a:prstGeom prst="rect">
                      <a:avLst/>
                    </a:prstGeom>
                    <a:noFill/>
                  </pic:spPr>
                </pic:pic>
              </a:graphicData>
            </a:graphic>
          </wp:anchor>
        </w:drawing>
      </w:r>
    </w:p>
    <w:p>
      <w:pPr>
        <w:sectPr>
          <w:pgSz w:w="12240" w:h="15840" w:orient="portrait"/>
          <w:cols w:equalWidth="0" w:num="1">
            <w:col w:w="10270"/>
          </w:cols>
          <w:pgMar w:left="990" w:top="21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270"/>
          </w:cols>
          <w:pgMar w:left="990" w:top="210" w:right="98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property, plant and equipment, net are summarized as follows:</w:t>
      </w: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77"/>
        </w:trPr>
        <w:tc>
          <w:tcPr>
            <w:tcW w:w="7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0"/>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Land and improvements</w:t>
            </w:r>
          </w:p>
        </w:tc>
        <w:tc>
          <w:tcPr>
            <w:tcW w:w="620" w:type="dxa"/>
            <w:vAlign w:val="bottom"/>
          </w:tcPr>
          <w:p>
            <w:pPr>
              <w:jc w:val="right"/>
              <w:ind w:right="367"/>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00"/>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204</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w:t>
            </w:r>
          </w:p>
        </w:tc>
      </w:tr>
      <w:tr>
        <w:trPr>
          <w:trHeight w:val="300"/>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Machinery and other equipment</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502</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w:t>
            </w:r>
          </w:p>
        </w:tc>
      </w:tr>
      <w:tr>
        <w:trPr>
          <w:trHeight w:val="303"/>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assets</w:t>
            </w: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w:t>
            </w:r>
          </w:p>
        </w:tc>
        <w:tc>
          <w:tcPr>
            <w:tcW w:w="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77"/>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 gross</w:t>
            </w: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807</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w:t>
            </w:r>
          </w:p>
        </w:tc>
      </w:tr>
      <w:tr>
        <w:trPr>
          <w:trHeight w:val="303"/>
        </w:trPr>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(633)</w:t>
            </w:r>
          </w:p>
        </w:tc>
        <w:tc>
          <w:tcPr>
            <w:tcW w:w="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(611)</w:t>
            </w:r>
          </w:p>
        </w:tc>
      </w:tr>
      <w:tr>
        <w:trPr>
          <w:trHeight w:val="260"/>
        </w:trPr>
        <w:tc>
          <w:tcPr>
            <w:tcW w:w="7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property, plant and equipment, net</w:t>
            </w:r>
          </w:p>
        </w:tc>
        <w:tc>
          <w:tcPr>
            <w:tcW w:w="620" w:type="dxa"/>
            <w:vAlign w:val="bottom"/>
          </w:tcPr>
          <w:p>
            <w:pPr>
              <w:jc w:val="right"/>
              <w:ind w:right="367"/>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174</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w:t>
            </w:r>
          </w:p>
        </w:tc>
      </w:tr>
      <w:tr>
        <w:trPr>
          <w:trHeight w:val="20"/>
        </w:trPr>
        <w:tc>
          <w:tcPr>
            <w:tcW w:w="7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-1555115</wp:posOffset>
            </wp:positionV>
            <wp:extent cx="6543675" cy="1574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5">
                      <a:extLst>
                        <a:ext uri="{28A0092B-C50C-407E-A947-70E740481C1C}"/>
                      </a:extLst>
                    </a:blip>
                    <a:srcRect/>
                    <a:stretch>
                      <a:fillRect/>
                    </a:stretch>
                  </pic:blipFill>
                  <pic:spPr bwMode="auto">
                    <a:xfrm>
                      <a:off x="0" y="0"/>
                      <a:ext cx="6543675" cy="1574800"/>
                    </a:xfrm>
                    <a:prstGeom prst="rect">
                      <a:avLst/>
                    </a:prstGeom>
                    <a:noFill/>
                  </pic:spPr>
                </pic:pic>
              </a:graphicData>
            </a:graphic>
          </wp:anchor>
        </w:drawing>
      </w:r>
    </w:p>
    <w:p>
      <w:pPr>
        <w:sectPr>
          <w:pgSz w:w="12240" w:h="15840" w:orient="portrait"/>
          <w:cols w:equalWidth="0" w:num="1">
            <w:col w:w="10240"/>
          </w:cols>
          <w:pgMar w:left="1000" w:top="22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240"/>
          </w:cols>
          <w:pgMar w:left="1000" w:top="220" w:right="100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80" w:right="1160" w:hanging="1079"/>
        <w:spacing w:after="0" w:line="286" w:lineRule="auto"/>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color w:val="auto"/>
        </w:rPr>
        <w:t>CHANGES IN AND DISAGREEMENTS WITH ACCOUNTANTS ON ACCOUNTING AND FINANCIAL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20"/>
          <w:szCs w:val="20"/>
          <w:b w:val="1"/>
          <w:bCs w:val="1"/>
          <w:color w:val="auto"/>
        </w:rPr>
        <w:t>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35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The Company has established disclosure controls and procedures (as defined in Rules 13a-15(e) and 15d-15(e) of the Securities Exchange Act of 1934, as amended (the Exchange Act)). The Company’s management carried out an evaluation, under the supervision and with the participation of its Chief Executive and Chief Financial Officers, of the effectiveness of the design and operation of the Company’s disclosure controls and procedures as of December 31, 2025. Based on this evaluation, the Company’s Chief Executive and Chief Financial Officers have concluded that the Company’s disclosure controls and procedures were effective as of December 31, 2025 to provide reasonable assurance that the information required to be disclosed by the Company in reports that it files or submits under the Exchange Act is (i) recorded, processed, summarized and reported within the time periods specified in the SEC rules and forms and (ii) accumulated and communicated to management, including the Company’s Chief Executive and Chief Financial Officers, as appropriate, to allow timely decisions regarding required disclosure.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Management assessed, under the supervision and with the participation of the Company’s Chief Executive and Chief Financial Officers, the effectiveness of the Company’s internal control over financial reporting as of December 31, 2025. In making this assessment, management used the criteria set forth by the Committee of Sponsoring Organizations of the Treadway Commission (COSO) in the 2013 </w:t>
      </w:r>
      <w:r>
        <w:rPr>
          <w:rFonts w:ascii="Times New Roman" w:cs="Times New Roman" w:eastAsia="Times New Roman" w:hAnsi="Times New Roman"/>
          <w:sz w:val="20"/>
          <w:szCs w:val="20"/>
          <w:b w:val="1"/>
          <w:bCs w:val="1"/>
          <w:i w:val="1"/>
          <w:iCs w:val="1"/>
          <w:color w:val="auto"/>
        </w:rPr>
        <w:t>Internal Control-Integrated Framework</w:t>
      </w:r>
      <w:r>
        <w:rPr>
          <w:rFonts w:ascii="Times New Roman" w:cs="Times New Roman" w:eastAsia="Times New Roman" w:hAnsi="Times New Roman"/>
          <w:sz w:val="20"/>
          <w:szCs w:val="20"/>
          <w:color w:val="auto"/>
        </w:rPr>
        <w:t>. Based on this assessment, management, including the Company’s Chief Executive and Chief Financial Officers, concluded that the Company’s internal control over financial reporting was effective as of December 31, 2025 based on those criteria.</w:t>
      </w:r>
    </w:p>
    <w:p>
      <w:pPr>
        <w:spacing w:after="0" w:line="20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PricewaterhouseCoopers LLP, our independent registered public accounting firm, has audited the effectiveness of our internal control over financial reporting as of December 31, 2025 as stated in their report which appears in Item 8 of this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There have been no changes in the Company’s internal control over financial reporting that occurred during the three months ended December 31, 2025 that have materially affected, or are reasonably likely to materially affect, the Company’s internal control over financial reporting.</w:t>
      </w:r>
    </w:p>
    <w:p>
      <w:pPr>
        <w:sectPr>
          <w:pgSz w:w="12240" w:h="15840" w:orient="portrait"/>
          <w:cols w:equalWidth="0" w:num="1">
            <w:col w:w="10260"/>
          </w:cols>
          <w:pgMar w:left="1000" w:top="22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260"/>
          </w:cols>
          <w:pgMar w:left="1000" w:top="220" w:right="98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Adoption or Termination of 10b5-1 Trading Plans</w:t>
      </w: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During the fiscal quarter ended December 31, 2024, no director or officer of the Company adopted or terminated a “Rule 10b5-1 trading arrangement” or “non-Rule 10b5-1 trading arrangement,” as each term is defined in Item 408(a) of the SEC’s Regulation S-K.</w:t>
      </w:r>
    </w:p>
    <w:p>
      <w:pPr>
        <w:spacing w:after="0" w:line="23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40"/>
          </w:cols>
          <w:pgMar w:left="1000" w:top="22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240"/>
          </w:cols>
          <w:pgMar w:left="1000" w:top="220" w:right="1000" w:bottom="0" w:gutter="0" w:footer="0" w:header="0"/>
          <w:type w:val="continuous"/>
        </w:sectPr>
      </w:pPr>
    </w:p>
    <w:bookmarkStart w:id="119" w:name="page120"/>
    <w:bookmarkEnd w:id="119"/>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Except as set forth below, the information required by this Item 10 is incorporated herein by reference to the Company’s Proxy Statement for the 2026 Annual Meeting of Stockholders to be filed with the SEC within 120 days after the end of our fiscal 2025 year (“2026 Proxy Statement”).</w:t>
      </w:r>
    </w:p>
    <w:p>
      <w:pPr>
        <w:spacing w:after="0" w:line="19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We have a Code of Conduct that sets the standard for ethics and compliance for all of our directors and employees, including our principal executive officer, our principal financial officer and our principal accounting officer. Our Code of Conduct is available on the Corporate Governance page at our website at http://www.ncrvoyix.com/company/corporate-governance/code-of-conduct under the heading “Code of Conduct.” We intend to satisfy the disclosure requirement under Item 5.05 of Form 8-K regarding an amendment to, or a waiver from, a provision of our Code of Conduct by posting such information on our website at the address and location set forth above.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has adopted an insider trading policy and program applicable to the Company’s directors, officers and employees, as well as the Company itself, that the Company believes is reasonably designed to promote compliance with insider trading laws, rules and regulations and the New York Stock Exchange listing standards. The foregoing summary of the Company’s insider trading policy does not purport to be complete and is qualified in its entirety by reference to the full text thereof attached hereto as Exhibit 19.</w:t>
      </w:r>
    </w:p>
    <w:p>
      <w:pPr>
        <w:spacing w:after="0" w:line="19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color w:val="auto"/>
        </w:rPr>
        <w:t>EXECUTIVE COMPENSATION</w:t>
      </w:r>
    </w:p>
    <w:p>
      <w:pPr>
        <w:spacing w:after="0" w:line="2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incorporate by reference in this Item 11 the information relating to executive and director compensation and the report of the Compensation Committee contained under the headings “Compensation Discussion &amp; Analysis” and “Board and Corporate Governance - Director Compensation” from our 2026 Proxy Statement.</w:t>
      </w:r>
    </w:p>
    <w:p>
      <w:pPr>
        <w:spacing w:after="0" w:line="188" w:lineRule="exact"/>
        <w:rPr>
          <w:sz w:val="20"/>
          <w:szCs w:val="20"/>
          <w:color w:val="auto"/>
        </w:rPr>
      </w:pPr>
    </w:p>
    <w:p>
      <w:pPr>
        <w:ind w:left="1160" w:right="60" w:hanging="1169"/>
        <w:spacing w:after="0" w:line="286" w:lineRule="auto"/>
        <w:tabs>
          <w:tab w:leader="none" w:pos="114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20"/>
          <w:szCs w:val="20"/>
          <w:b w:val="1"/>
          <w:bCs w:val="1"/>
          <w:color w:val="auto"/>
        </w:rPr>
        <w:t>SECURITY OWNERSHIP OF CERTAIN BENEFICIAL OWNERS AND MANAGEMENT AND RELATED STOCKHOLDER MATTERS</w:t>
      </w:r>
    </w:p>
    <w:p>
      <w:pPr>
        <w:spacing w:after="0" w:line="17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20"/>
          <w:szCs w:val="20"/>
          <w:color w:val="auto"/>
        </w:rPr>
        <w:t>We incorporate by reference the information required by this Item 12 under the headings “Security Ownership of Certain Beneficial Owners and Management” and “Equity Compensation Plan Information Table” from our 2026 Proxy Statement.</w:t>
      </w:r>
    </w:p>
    <w:p>
      <w:pPr>
        <w:spacing w:after="0" w:line="17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20"/>
          <w:szCs w:val="20"/>
          <w:b w:val="1"/>
          <w:bCs w:val="1"/>
          <w:color w:val="auto"/>
        </w:rPr>
        <w:t>CERTAIN RELATIONSHIPS AND RELATED TRANSACTIONS AND DIRECTOR INDEPENDENCE</w:t>
      </w:r>
    </w:p>
    <w:p>
      <w:pPr>
        <w:spacing w:after="0" w:line="3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incorporate by reference in this Item 13 the information regarding certain relationships and related transactions between us and our affiliates and the independence of our directors contained under the headings “Additional Information - Relationships and Related Party Transactions” and “Board and Corporate Governance - Board Independence” from our 2026 Proxy Statement.</w:t>
      </w:r>
    </w:p>
    <w:p>
      <w:pPr>
        <w:spacing w:after="0" w:line="2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35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20"/>
          <w:szCs w:val="20"/>
          <w:color w:val="auto"/>
        </w:rPr>
        <w:t>We incorporate by reference in this Item 14 the information regarding principal accounting fees and services contained under the heading “Proposal Three: Ratification of Reappointment of Auditors” from our 2026 Proxy Statement.</w:t>
      </w:r>
    </w:p>
    <w:p>
      <w:pPr>
        <w:sectPr>
          <w:pgSz w:w="12240" w:h="15840" w:orient="portrait"/>
          <w:cols w:equalWidth="0" w:num="1">
            <w:col w:w="10620"/>
          </w:cols>
          <w:pgMar w:left="82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620"/>
          </w:cols>
          <w:pgMar w:left="820" w:top="220" w:right="800" w:bottom="0" w:gutter="0" w:footer="0" w:header="0"/>
          <w:type w:val="continuous"/>
        </w:sectPr>
      </w:pPr>
    </w:p>
    <w:bookmarkStart w:id="120" w:name="page121"/>
    <w:bookmarkEnd w:id="120"/>
    <w:p>
      <w:pPr>
        <w:ind w:left="19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ind w:left="10"/>
        <w:spacing w:after="0"/>
        <w:tabs>
          <w:tab w:leader="none" w:pos="115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xml:space="preserve">(a)(1) </w:t>
      </w:r>
      <w:r>
        <w:rPr>
          <w:rFonts w:ascii="Times New Roman" w:cs="Times New Roman" w:eastAsia="Times New Roman" w:hAnsi="Times New Roman"/>
          <w:sz w:val="20"/>
          <w:szCs w:val="20"/>
          <w:b w:val="1"/>
          <w:bCs w:val="1"/>
          <w:i w:val="1"/>
          <w:iCs w:val="1"/>
          <w:color w:val="auto"/>
        </w:rPr>
        <w:t>Financial Statements</w:t>
      </w:r>
      <w:r>
        <w:rPr>
          <w:rFonts w:ascii="Times New Roman" w:cs="Times New Roman" w:eastAsia="Times New Roman" w:hAnsi="Times New Roman"/>
          <w:sz w:val="20"/>
          <w:szCs w:val="20"/>
          <w:color w:val="auto"/>
        </w:rPr>
        <w:t>: The following is an index of the consolidated financial statements of the Company and the Report of</w:t>
      </w:r>
    </w:p>
    <w:p>
      <w:pPr>
        <w:spacing w:after="0" w:line="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Independent Registered Public Accounting Firm filed as part of this Form 10-K:</w:t>
      </w:r>
    </w:p>
    <w:p>
      <w:pPr>
        <w:spacing w:after="0" w:line="43"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b w:val="1"/>
                <w:bCs w:val="1"/>
                <w:color w:val="auto"/>
                <w:w w:val="98"/>
              </w:rPr>
              <w:t>Page of</w:t>
            </w:r>
          </w:p>
        </w:tc>
        <w:tc>
          <w:tcPr>
            <w:tcW w:w="0" w:type="dxa"/>
            <w:vAlign w:val="bottom"/>
          </w:tcPr>
          <w:p>
            <w:pPr>
              <w:spacing w:after="0"/>
              <w:rPr>
                <w:sz w:val="1"/>
                <w:szCs w:val="1"/>
                <w:color w:val="auto"/>
              </w:rPr>
            </w:pPr>
          </w:p>
        </w:tc>
      </w:tr>
      <w:tr>
        <w:trPr>
          <w:trHeight w:val="264"/>
        </w:trPr>
        <w:tc>
          <w:tcPr>
            <w:tcW w:w="4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3"/>
          </w:tcPr>
          <w:p>
            <w:pPr>
              <w:jc w:val="center"/>
              <w:ind w:left="200"/>
              <w:spacing w:after="0"/>
              <w:rPr>
                <w:sz w:val="20"/>
                <w:szCs w:val="20"/>
                <w:color w:val="auto"/>
              </w:rPr>
            </w:pPr>
            <w:r>
              <w:rPr>
                <w:rFonts w:ascii="Times New Roman" w:cs="Times New Roman" w:eastAsia="Times New Roman" w:hAnsi="Times New Roman"/>
                <w:sz w:val="20"/>
                <w:szCs w:val="20"/>
                <w:b w:val="1"/>
                <w:bCs w:val="1"/>
                <w:color w:val="auto"/>
                <w:w w:val="98"/>
              </w:rPr>
              <w:t>Form 10-K</w:t>
            </w:r>
          </w:p>
        </w:tc>
        <w:tc>
          <w:tcPr>
            <w:tcW w:w="0" w:type="dxa"/>
            <w:vAlign w:val="bottom"/>
          </w:tcPr>
          <w:p>
            <w:pPr>
              <w:spacing w:after="0"/>
              <w:rPr>
                <w:sz w:val="1"/>
                <w:szCs w:val="1"/>
                <w:color w:val="auto"/>
              </w:rPr>
            </w:pPr>
          </w:p>
        </w:tc>
      </w:tr>
      <w:tr>
        <w:trPr>
          <w:trHeight w:val="252"/>
        </w:trPr>
        <w:tc>
          <w:tcPr>
            <w:tcW w:w="92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Report of Independent Registered Public Accounting Firm</w:t>
            </w:r>
          </w:p>
        </w:tc>
        <w:tc>
          <w:tcPr>
            <w:tcW w:w="880" w:type="dxa"/>
            <w:vAlign w:val="bottom"/>
            <w:gridSpan w:val="2"/>
          </w:tcPr>
          <w:p>
            <w:pPr>
              <w:jc w:val="center"/>
              <w:ind w:left="580"/>
              <w:spacing w:after="0"/>
              <w:rPr>
                <w:sz w:val="20"/>
                <w:szCs w:val="20"/>
                <w:color w:val="auto"/>
              </w:rPr>
            </w:pPr>
            <w:r>
              <w:rPr>
                <w:rFonts w:ascii="Times New Roman" w:cs="Times New Roman" w:eastAsia="Times New Roman" w:hAnsi="Times New Roman"/>
                <w:sz w:val="20"/>
                <w:szCs w:val="20"/>
                <w:color w:val="0000FF"/>
                <w:w w:val="99"/>
              </w:rPr>
              <w:t>55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620" w:type="dxa"/>
            <w:vAlign w:val="bottom"/>
            <w:gridSpan w:val="7"/>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for the years ended December 31, 2025, 2024 and 2023</w:t>
            </w:r>
          </w:p>
        </w:tc>
        <w:tc>
          <w:tcPr>
            <w:tcW w:w="1580" w:type="dxa"/>
            <w:vAlign w:val="bottom"/>
            <w:gridSpan w:val="3"/>
          </w:tcPr>
          <w:p>
            <w:pPr>
              <w:spacing w:after="0"/>
              <w:rPr>
                <w:sz w:val="24"/>
                <w:szCs w:val="24"/>
                <w:color w:val="auto"/>
              </w:rPr>
            </w:pPr>
          </w:p>
        </w:tc>
        <w:tc>
          <w:tcPr>
            <w:tcW w:w="880" w:type="dxa"/>
            <w:vAlign w:val="bottom"/>
            <w:gridSpan w:val="2"/>
          </w:tcPr>
          <w:p>
            <w:pPr>
              <w:jc w:val="center"/>
              <w:ind w:left="580"/>
              <w:spacing w:after="0"/>
              <w:rPr>
                <w:sz w:val="20"/>
                <w:szCs w:val="20"/>
                <w:color w:val="auto"/>
              </w:rPr>
            </w:pPr>
            <w:r>
              <w:rPr>
                <w:rFonts w:ascii="Times New Roman" w:cs="Times New Roman" w:eastAsia="Times New Roman" w:hAnsi="Times New Roman"/>
                <w:sz w:val="20"/>
                <w:szCs w:val="20"/>
                <w:color w:val="0000FF"/>
                <w:w w:val="99"/>
              </w:rPr>
              <w:t>57</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2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w w:val="99"/>
              </w:rPr>
              <w:t>Consolidated Statements of Comprehensive Income (Loss) for the years ended December 31, 2025, 2024 and 2023</w:t>
            </w:r>
          </w:p>
        </w:tc>
        <w:tc>
          <w:tcPr>
            <w:tcW w:w="880" w:type="dxa"/>
            <w:vAlign w:val="bottom"/>
            <w:gridSpan w:val="2"/>
          </w:tcPr>
          <w:p>
            <w:pPr>
              <w:jc w:val="center"/>
              <w:ind w:left="580"/>
              <w:spacing w:after="0"/>
              <w:rPr>
                <w:sz w:val="20"/>
                <w:szCs w:val="20"/>
                <w:color w:val="auto"/>
              </w:rPr>
            </w:pPr>
            <w:r>
              <w:rPr>
                <w:rFonts w:ascii="Times New Roman" w:cs="Times New Roman" w:eastAsia="Times New Roman" w:hAnsi="Times New Roman"/>
                <w:sz w:val="20"/>
                <w:szCs w:val="20"/>
                <w:color w:val="0000FF"/>
                <w:w w:val="99"/>
              </w:rPr>
              <w:t>58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2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Consolidated Balance Sheets as of December 31, 2025 and 2024</w:t>
            </w:r>
          </w:p>
        </w:tc>
        <w:tc>
          <w:tcPr>
            <w:tcW w:w="880" w:type="dxa"/>
            <w:vAlign w:val="bottom"/>
            <w:gridSpan w:val="2"/>
          </w:tcPr>
          <w:p>
            <w:pPr>
              <w:jc w:val="center"/>
              <w:ind w:left="580"/>
              <w:spacing w:after="0"/>
              <w:rPr>
                <w:sz w:val="20"/>
                <w:szCs w:val="20"/>
                <w:color w:val="auto"/>
              </w:rPr>
            </w:pPr>
            <w:r>
              <w:rPr>
                <w:rFonts w:ascii="Times New Roman" w:cs="Times New Roman" w:eastAsia="Times New Roman" w:hAnsi="Times New Roman"/>
                <w:sz w:val="20"/>
                <w:szCs w:val="20"/>
                <w:color w:val="0000FF"/>
                <w:w w:val="99"/>
              </w:rPr>
              <w:t>59</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680" w:type="dxa"/>
            <w:vAlign w:val="bottom"/>
            <w:gridSpan w:val="8"/>
          </w:tcPr>
          <w:p>
            <w:pPr>
              <w:spacing w:after="0"/>
              <w:rPr>
                <w:sz w:val="20"/>
                <w:szCs w:val="20"/>
                <w:color w:val="auto"/>
              </w:rPr>
            </w:pPr>
            <w:r>
              <w:rPr>
                <w:rFonts w:ascii="Times New Roman" w:cs="Times New Roman" w:eastAsia="Times New Roman" w:hAnsi="Times New Roman"/>
                <w:sz w:val="20"/>
                <w:szCs w:val="20"/>
                <w:color w:val="0000FF"/>
                <w:w w:val="99"/>
              </w:rPr>
              <w:t>Consolidated Statements of Cash Flows for the years ended December 31, 2025, 2024 and 2023</w:t>
            </w:r>
          </w:p>
        </w:tc>
        <w:tc>
          <w:tcPr>
            <w:tcW w:w="1520" w:type="dxa"/>
            <w:vAlign w:val="bottom"/>
            <w:gridSpan w:val="2"/>
          </w:tcPr>
          <w:p>
            <w:pPr>
              <w:spacing w:after="0"/>
              <w:rPr>
                <w:sz w:val="24"/>
                <w:szCs w:val="24"/>
                <w:color w:val="auto"/>
              </w:rPr>
            </w:pPr>
          </w:p>
        </w:tc>
        <w:tc>
          <w:tcPr>
            <w:tcW w:w="880" w:type="dxa"/>
            <w:vAlign w:val="bottom"/>
            <w:gridSpan w:val="2"/>
          </w:tcPr>
          <w:p>
            <w:pPr>
              <w:jc w:val="center"/>
              <w:ind w:left="580"/>
              <w:spacing w:after="0"/>
              <w:rPr>
                <w:sz w:val="20"/>
                <w:szCs w:val="20"/>
                <w:color w:val="auto"/>
              </w:rPr>
            </w:pPr>
            <w:r>
              <w:rPr>
                <w:rFonts w:ascii="Times New Roman" w:cs="Times New Roman" w:eastAsia="Times New Roman" w:hAnsi="Times New Roman"/>
                <w:sz w:val="20"/>
                <w:szCs w:val="20"/>
                <w:color w:val="0000FF"/>
                <w:w w:val="99"/>
              </w:rPr>
              <w:t>60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920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w:t>
            </w:r>
            <w:r>
              <w:rPr>
                <w:rFonts w:ascii="Times New Roman" w:cs="Times New Roman" w:eastAsia="Times New Roman" w:hAnsi="Times New Roman"/>
                <w:sz w:val="20"/>
                <w:szCs w:val="20"/>
                <w:color w:val="3051F2"/>
              </w:rPr>
              <w:t>’</w:t>
            </w:r>
            <w:r>
              <w:rPr>
                <w:rFonts w:ascii="Times New Roman" w:cs="Times New Roman" w:eastAsia="Times New Roman" w:hAnsi="Times New Roman"/>
                <w:sz w:val="20"/>
                <w:szCs w:val="20"/>
                <w:color w:val="0000FF"/>
              </w:rPr>
              <w:t xml:space="preserve"> Equity for the years ended December 31, 2025, 2024 and</w:t>
            </w:r>
          </w:p>
        </w:tc>
        <w:tc>
          <w:tcPr>
            <w:tcW w:w="880" w:type="dxa"/>
            <w:vAlign w:val="bottom"/>
            <w:gridSpan w:val="2"/>
            <w:vMerge w:val="restart"/>
          </w:tcPr>
          <w:p>
            <w:pPr>
              <w:jc w:val="center"/>
              <w:ind w:left="580"/>
              <w:spacing w:after="0"/>
              <w:rPr>
                <w:sz w:val="20"/>
                <w:szCs w:val="20"/>
                <w:color w:val="auto"/>
              </w:rPr>
            </w:pPr>
            <w:r>
              <w:rPr>
                <w:rFonts w:ascii="Times New Roman" w:cs="Times New Roman" w:eastAsia="Times New Roman" w:hAnsi="Times New Roman"/>
                <w:sz w:val="20"/>
                <w:szCs w:val="20"/>
                <w:color w:val="0000FF"/>
                <w:w w:val="99"/>
              </w:rPr>
              <w:t>61</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00" w:type="dxa"/>
            <w:vAlign w:val="bottom"/>
            <w:tcBorders>
              <w:top w:val="single" w:sz="8" w:color="0000FF"/>
            </w:tcBorders>
          </w:tcPr>
          <w:p>
            <w:pPr>
              <w:spacing w:after="0" w:line="180" w:lineRule="exact"/>
              <w:rPr>
                <w:sz w:val="20"/>
                <w:szCs w:val="20"/>
                <w:color w:val="auto"/>
              </w:rPr>
            </w:pPr>
            <w:r>
              <w:rPr>
                <w:rFonts w:ascii="Times New Roman" w:cs="Times New Roman" w:eastAsia="Times New Roman" w:hAnsi="Times New Roman"/>
                <w:sz w:val="20"/>
                <w:szCs w:val="20"/>
                <w:color w:val="0000FF"/>
                <w:w w:val="94"/>
              </w:rPr>
              <w:t>2023</w:t>
            </w:r>
          </w:p>
        </w:tc>
        <w:tc>
          <w:tcPr>
            <w:tcW w:w="310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0" w:type="dxa"/>
            <w:vAlign w:val="bottom"/>
            <w:tcBorders>
              <w:top w:val="single" w:sz="8" w:color="3051F2"/>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4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300" w:type="dxa"/>
            <w:vAlign w:val="bottom"/>
            <w:tcBorders>
              <w:top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70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5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5700" w:type="dxa"/>
            <w:vAlign w:val="bottom"/>
            <w:gridSpan w:val="8"/>
          </w:tcPr>
          <w:p>
            <w:pPr>
              <w:spacing w:after="0"/>
              <w:rPr>
                <w:sz w:val="24"/>
                <w:szCs w:val="24"/>
                <w:color w:val="auto"/>
              </w:rPr>
            </w:pPr>
          </w:p>
        </w:tc>
        <w:tc>
          <w:tcPr>
            <w:tcW w:w="880" w:type="dxa"/>
            <w:vAlign w:val="bottom"/>
            <w:gridSpan w:val="2"/>
          </w:tcPr>
          <w:p>
            <w:pPr>
              <w:jc w:val="center"/>
              <w:ind w:left="580"/>
              <w:spacing w:after="0"/>
              <w:rPr>
                <w:sz w:val="20"/>
                <w:szCs w:val="20"/>
                <w:color w:val="auto"/>
              </w:rPr>
            </w:pPr>
            <w:r>
              <w:rPr>
                <w:rFonts w:ascii="Times New Roman" w:cs="Times New Roman" w:eastAsia="Times New Roman" w:hAnsi="Times New Roman"/>
                <w:sz w:val="20"/>
                <w:szCs w:val="20"/>
                <w:color w:val="0000FF"/>
                <w:w w:val="99"/>
              </w:rPr>
              <w:t>62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ind w:left="10" w:hanging="10"/>
        <w:spacing w:after="0" w:line="245" w:lineRule="auto"/>
        <w:tabs>
          <w:tab w:leader="none" w:pos="29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Statement Schedule</w:t>
      </w:r>
      <w:r>
        <w:rPr>
          <w:rFonts w:ascii="Times New Roman" w:cs="Times New Roman" w:eastAsia="Times New Roman" w:hAnsi="Times New Roman"/>
          <w:sz w:val="20"/>
          <w:szCs w:val="20"/>
          <w:color w:val="auto"/>
        </w:rPr>
        <w:t>: Financial Statement Schedule II—Valuation and Qualifying Accounts for each of the years ended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December 31, 2025, 2024 and 2023, respectively, is included in this Form 10-K on page 122. All other financial statement schedules have been omitted as the information is not required under the related instructions or is inapplicable, or because the information required is already included in our consolidated financial statements or related notes.</w:t>
      </w:r>
    </w:p>
    <w:p>
      <w:pPr>
        <w:spacing w:after="0" w:line="196" w:lineRule="exact"/>
        <w:rPr>
          <w:rFonts w:ascii="Times New Roman" w:cs="Times New Roman" w:eastAsia="Times New Roman" w:hAnsi="Times New Roman"/>
          <w:sz w:val="20"/>
          <w:szCs w:val="20"/>
          <w:color w:val="auto"/>
        </w:rPr>
      </w:pPr>
    </w:p>
    <w:p>
      <w:pPr>
        <w:ind w:left="10" w:right="20" w:hanging="10"/>
        <w:spacing w:after="0" w:line="285" w:lineRule="auto"/>
        <w:tabs>
          <w:tab w:leader="none" w:pos="29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Exhibits</w:t>
      </w:r>
      <w:r>
        <w:rPr>
          <w:rFonts w:ascii="Times New Roman" w:cs="Times New Roman" w:eastAsia="Times New Roman" w:hAnsi="Times New Roman"/>
          <w:sz w:val="20"/>
          <w:szCs w:val="20"/>
          <w:color w:val="auto"/>
        </w:rPr>
        <w:t>: See the index of exhibits below for a listing of all exhibits to this Form 10-K. Management contracts and compensatory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plans or arrangements required to be filed as an exhibit to this Form 10-K are identified by an asterisk (*).</w:t>
      </w:r>
    </w:p>
    <w:p>
      <w:pPr>
        <w:spacing w:after="0" w:line="178" w:lineRule="exact"/>
        <w:rPr>
          <w:sz w:val="20"/>
          <w:szCs w:val="20"/>
          <w:color w:val="auto"/>
        </w:rPr>
      </w:pPr>
    </w:p>
    <w:p>
      <w:pPr>
        <w:ind w:left="10" w:right="20" w:hanging="10"/>
        <w:spacing w:after="0" w:line="281" w:lineRule="auto"/>
        <w:tabs>
          <w:tab w:leader="none" w:pos="29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is an index of all exhibits to this Form 10-K. Exhibits identified in parentheses in the index below, on file with the SEC, are incorporated herein by reference as exhibits hereto.</w:t>
      </w:r>
    </w:p>
    <w:p>
      <w:pPr>
        <w:spacing w:after="0" w:line="3"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2.</w:t>
            </w:r>
            <w:r>
              <w:rPr>
                <w:rFonts w:ascii="Times New Roman" w:cs="Times New Roman" w:eastAsia="Times New Roman" w:hAnsi="Times New Roman"/>
                <w:sz w:val="20"/>
                <w:szCs w:val="20"/>
                <w:u w:val="single" w:color="auto"/>
                <w:color w:val="0000FF"/>
                <w:w w:val="95"/>
              </w:rPr>
              <w:t>1</w:t>
            </w:r>
          </w:p>
        </w:tc>
        <w:tc>
          <w:tcPr>
            <w:tcW w:w="140" w:type="dxa"/>
            <w:vAlign w:val="bottom"/>
          </w:tcPr>
          <w:p>
            <w:pPr>
              <w:spacing w:after="0"/>
              <w:rPr>
                <w:sz w:val="19"/>
                <w:szCs w:val="19"/>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Separation and Distribution Agreement, dated as of October 16, 2023, by and between NCR Voyix Corporation and</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20" w:type="dxa"/>
            <w:vAlign w:val="bottom"/>
          </w:tcPr>
          <w:p>
            <w:pPr>
              <w:ind w:left="800"/>
              <w:spacing w:after="0" w:line="173" w:lineRule="exact"/>
              <w:rPr>
                <w:sz w:val="20"/>
                <w:szCs w:val="20"/>
                <w:color w:val="auto"/>
              </w:rPr>
            </w:pPr>
            <w:r>
              <w:rPr>
                <w:rFonts w:ascii="Times New Roman" w:cs="Times New Roman" w:eastAsia="Times New Roman" w:hAnsi="Times New Roman"/>
                <w:sz w:val="20"/>
                <w:szCs w:val="20"/>
                <w:color w:val="auto"/>
              </w:rPr>
              <w:t>NCR Atleos Corporation (Exhibit 2.1 to the Company’s Current Report on Form 8-K filed on October 17, 2023 (the</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“October 17, 2023 8-K”))</w:t>
            </w:r>
          </w:p>
        </w:tc>
        <w:tc>
          <w:tcPr>
            <w:tcW w:w="0" w:type="dxa"/>
            <w:vAlign w:val="bottom"/>
          </w:tcPr>
          <w:p>
            <w:pPr>
              <w:spacing w:after="0"/>
              <w:rPr>
                <w:sz w:val="1"/>
                <w:szCs w:val="1"/>
                <w:color w:val="auto"/>
              </w:rPr>
            </w:pPr>
          </w:p>
        </w:tc>
      </w:tr>
      <w:tr>
        <w:trPr>
          <w:trHeight w:val="447"/>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2.</w:t>
            </w:r>
            <w:r>
              <w:rPr>
                <w:rFonts w:ascii="Times New Roman" w:cs="Times New Roman" w:eastAsia="Times New Roman" w:hAnsi="Times New Roman"/>
                <w:sz w:val="20"/>
                <w:szCs w:val="20"/>
                <w:u w:val="single" w:color="auto"/>
                <w:color w:val="0000FF"/>
                <w:w w:val="95"/>
              </w:rPr>
              <w:t>2</w:t>
            </w:r>
          </w:p>
        </w:tc>
        <w:tc>
          <w:tcPr>
            <w:tcW w:w="140" w:type="dxa"/>
            <w:vAlign w:val="bottom"/>
          </w:tcPr>
          <w:p>
            <w:pPr>
              <w:spacing w:after="0"/>
              <w:rPr>
                <w:sz w:val="24"/>
                <w:szCs w:val="24"/>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9"/>
              </w:rPr>
              <w:t>Purchase Agreement, dated August 5, 2024, by and between NCR Voyix Corporation, Digital First Holdings II LLC</w:t>
            </w:r>
          </w:p>
        </w:tc>
        <w:tc>
          <w:tcPr>
            <w:tcW w:w="0" w:type="dxa"/>
            <w:vAlign w:val="bottom"/>
          </w:tcPr>
          <w:p>
            <w:pPr>
              <w:spacing w:after="0"/>
              <w:rPr>
                <w:sz w:val="1"/>
                <w:szCs w:val="1"/>
                <w:color w:val="auto"/>
              </w:rPr>
            </w:pPr>
          </w:p>
        </w:tc>
      </w:tr>
      <w:tr>
        <w:trPr>
          <w:trHeight w:val="240"/>
        </w:trPr>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1</w:t>
            </w:r>
          </w:p>
        </w:tc>
        <w:tc>
          <w:tcPr>
            <w:tcW w:w="140" w:type="dxa"/>
            <w:vAlign w:val="bottom"/>
          </w:tcPr>
          <w:p>
            <w:pPr>
              <w:spacing w:after="0"/>
              <w:rPr>
                <w:sz w:val="20"/>
                <w:szCs w:val="20"/>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and Dragon Buyer, Inc. (Exhibit 10.1 to the Company’s Current Report on Form 8-K filed on August 6, 2024).</w:t>
            </w:r>
          </w:p>
        </w:tc>
        <w:tc>
          <w:tcPr>
            <w:tcW w:w="0" w:type="dxa"/>
            <w:vAlign w:val="bottom"/>
          </w:tcPr>
          <w:p>
            <w:pPr>
              <w:spacing w:after="0"/>
              <w:rPr>
                <w:sz w:val="1"/>
                <w:szCs w:val="1"/>
                <w:color w:val="auto"/>
              </w:rPr>
            </w:pPr>
          </w:p>
        </w:tc>
      </w:tr>
      <w:tr>
        <w:trPr>
          <w:trHeight w:val="405"/>
        </w:trPr>
        <w:tc>
          <w:tcPr>
            <w:tcW w:w="260" w:type="dxa"/>
            <w:vAlign w:val="bottom"/>
            <w:tcBorders>
              <w:bottom w:val="single" w:sz="8" w:color="0000FF"/>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Articles of Amendment to the Articles of Incorporation of NCR Voyix Corporation, dated as of October 16, 2023</w:t>
            </w:r>
          </w:p>
        </w:tc>
        <w:tc>
          <w:tcPr>
            <w:tcW w:w="0" w:type="dxa"/>
            <w:vAlign w:val="bottom"/>
          </w:tcPr>
          <w:p>
            <w:pPr>
              <w:spacing w:after="0"/>
              <w:rPr>
                <w:sz w:val="1"/>
                <w:szCs w:val="1"/>
                <w:color w:val="auto"/>
              </w:rPr>
            </w:pPr>
          </w:p>
        </w:tc>
      </w:tr>
      <w:tr>
        <w:trPr>
          <w:trHeight w:val="240"/>
        </w:trPr>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2</w:t>
            </w:r>
          </w:p>
        </w:tc>
        <w:tc>
          <w:tcPr>
            <w:tcW w:w="140" w:type="dxa"/>
            <w:vAlign w:val="bottom"/>
          </w:tcPr>
          <w:p>
            <w:pPr>
              <w:spacing w:after="0"/>
              <w:rPr>
                <w:sz w:val="20"/>
                <w:szCs w:val="20"/>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(Exhibit 3.1 to the October 17, 2023 8-K)</w:t>
            </w:r>
          </w:p>
        </w:tc>
        <w:tc>
          <w:tcPr>
            <w:tcW w:w="0" w:type="dxa"/>
            <w:vAlign w:val="bottom"/>
          </w:tcPr>
          <w:p>
            <w:pPr>
              <w:spacing w:after="0"/>
              <w:rPr>
                <w:sz w:val="1"/>
                <w:szCs w:val="1"/>
                <w:color w:val="auto"/>
              </w:rPr>
            </w:pPr>
          </w:p>
        </w:tc>
      </w:tr>
      <w:tr>
        <w:trPr>
          <w:trHeight w:val="435"/>
        </w:trPr>
        <w:tc>
          <w:tcPr>
            <w:tcW w:w="260" w:type="dxa"/>
            <w:vAlign w:val="bottom"/>
            <w:tcBorders>
              <w:bottom w:val="single" w:sz="8" w:color="0000FF"/>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Articles of Amendment and Restatement of NCR Corporation (Exhibit 3.1 to the NCR Corporation Quarterly</w:t>
            </w:r>
          </w:p>
        </w:tc>
        <w:tc>
          <w:tcPr>
            <w:tcW w:w="0" w:type="dxa"/>
            <w:vAlign w:val="bottom"/>
          </w:tcPr>
          <w:p>
            <w:pPr>
              <w:spacing w:after="0"/>
              <w:rPr>
                <w:sz w:val="1"/>
                <w:szCs w:val="1"/>
                <w:color w:val="auto"/>
              </w:rPr>
            </w:pPr>
          </w:p>
        </w:tc>
      </w:tr>
      <w:tr>
        <w:trPr>
          <w:trHeight w:val="240"/>
        </w:trPr>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3</w:t>
            </w:r>
          </w:p>
        </w:tc>
        <w:tc>
          <w:tcPr>
            <w:tcW w:w="140" w:type="dxa"/>
            <w:vAlign w:val="bottom"/>
          </w:tcPr>
          <w:p>
            <w:pPr>
              <w:spacing w:after="0"/>
              <w:rPr>
                <w:sz w:val="20"/>
                <w:szCs w:val="20"/>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Report on Form 10-Q for the quarter ended June 30, 2019 (the “Second Quarter 2019 Quarterly Report”)).</w:t>
            </w:r>
          </w:p>
        </w:tc>
        <w:tc>
          <w:tcPr>
            <w:tcW w:w="0" w:type="dxa"/>
            <w:vAlign w:val="bottom"/>
          </w:tcPr>
          <w:p>
            <w:pPr>
              <w:spacing w:after="0"/>
              <w:rPr>
                <w:sz w:val="1"/>
                <w:szCs w:val="1"/>
                <w:color w:val="auto"/>
              </w:rPr>
            </w:pPr>
          </w:p>
        </w:tc>
      </w:tr>
      <w:tr>
        <w:trPr>
          <w:trHeight w:val="435"/>
        </w:trPr>
        <w:tc>
          <w:tcPr>
            <w:tcW w:w="260" w:type="dxa"/>
            <w:vAlign w:val="bottom"/>
            <w:tcBorders>
              <w:bottom w:val="single" w:sz="8" w:color="0000FF"/>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Amended and Restated By-laws of NCR Voyix Corporation, dated as of October 16, 2023 (Exhibit 3.3 to the</w:t>
            </w:r>
          </w:p>
        </w:tc>
        <w:tc>
          <w:tcPr>
            <w:tcW w:w="0" w:type="dxa"/>
            <w:vAlign w:val="bottom"/>
          </w:tcPr>
          <w:p>
            <w:pPr>
              <w:spacing w:after="0"/>
              <w:rPr>
                <w:sz w:val="1"/>
                <w:szCs w:val="1"/>
                <w:color w:val="auto"/>
              </w:rPr>
            </w:pPr>
          </w:p>
        </w:tc>
      </w:tr>
      <w:tr>
        <w:trPr>
          <w:trHeight w:val="240"/>
        </w:trPr>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5"/>
              </w:rPr>
              <w:t>4.1</w:t>
            </w:r>
          </w:p>
        </w:tc>
        <w:tc>
          <w:tcPr>
            <w:tcW w:w="140" w:type="dxa"/>
            <w:vAlign w:val="bottom"/>
          </w:tcPr>
          <w:p>
            <w:pPr>
              <w:spacing w:after="0"/>
              <w:rPr>
                <w:sz w:val="20"/>
                <w:szCs w:val="20"/>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October 17, 2023 8-K)</w:t>
            </w:r>
          </w:p>
        </w:tc>
        <w:tc>
          <w:tcPr>
            <w:tcW w:w="0" w:type="dxa"/>
            <w:vAlign w:val="bottom"/>
          </w:tcPr>
          <w:p>
            <w:pPr>
              <w:spacing w:after="0"/>
              <w:rPr>
                <w:sz w:val="1"/>
                <w:szCs w:val="1"/>
                <w:color w:val="auto"/>
              </w:rPr>
            </w:pPr>
          </w:p>
        </w:tc>
      </w:tr>
      <w:tr>
        <w:trPr>
          <w:trHeight w:val="417"/>
        </w:trPr>
        <w:tc>
          <w:tcPr>
            <w:tcW w:w="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Common Stock Certificate of NCR Corporation (Exhibit 4.1 to the NCR Corporation Annual Report on Form 10-K</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for the year ended December 31, 1999).</w:t>
            </w:r>
          </w:p>
        </w:tc>
        <w:tc>
          <w:tcPr>
            <w:tcW w:w="0" w:type="dxa"/>
            <w:vAlign w:val="bottom"/>
          </w:tcPr>
          <w:p>
            <w:pPr>
              <w:spacing w:after="0"/>
              <w:rPr>
                <w:sz w:val="1"/>
                <w:szCs w:val="1"/>
                <w:color w:val="auto"/>
              </w:rPr>
            </w:pPr>
          </w:p>
        </w:tc>
      </w:tr>
      <w:tr>
        <w:trPr>
          <w:trHeight w:val="442"/>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4.</w:t>
            </w:r>
            <w:r>
              <w:rPr>
                <w:rFonts w:ascii="Times New Roman" w:cs="Times New Roman" w:eastAsia="Times New Roman" w:hAnsi="Times New Roman"/>
                <w:sz w:val="20"/>
                <w:szCs w:val="20"/>
                <w:u w:val="single" w:color="auto"/>
                <w:color w:val="0000FF"/>
                <w:w w:val="95"/>
              </w:rPr>
              <w:t>2</w:t>
            </w:r>
          </w:p>
        </w:tc>
        <w:tc>
          <w:tcPr>
            <w:tcW w:w="140" w:type="dxa"/>
            <w:vAlign w:val="bottom"/>
          </w:tcPr>
          <w:p>
            <w:pPr>
              <w:spacing w:after="0"/>
              <w:rPr>
                <w:sz w:val="24"/>
                <w:szCs w:val="24"/>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Indenture, dated as of August 20, 2020, among NCR Corporation, NCR International, Inc. and Wells Fargo Bank,</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20" w:type="dxa"/>
            <w:vAlign w:val="bottom"/>
          </w:tcPr>
          <w:p>
            <w:pPr>
              <w:ind w:left="800"/>
              <w:spacing w:after="0" w:line="223" w:lineRule="exact"/>
              <w:rPr>
                <w:sz w:val="20"/>
                <w:szCs w:val="20"/>
                <w:color w:val="auto"/>
              </w:rPr>
            </w:pPr>
            <w:r>
              <w:rPr>
                <w:rFonts w:ascii="Times New Roman" w:cs="Times New Roman" w:eastAsia="Times New Roman" w:hAnsi="Times New Roman"/>
                <w:sz w:val="20"/>
                <w:szCs w:val="20"/>
                <w:color w:val="auto"/>
              </w:rPr>
              <w:t>National Association (Exhibit 4.1 to Current Report on Form 8-K of NCR Corporation dated August 20, 2020 (the</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“August 20, 2020 Form 8-K”)).</w:t>
            </w:r>
          </w:p>
        </w:tc>
        <w:tc>
          <w:tcPr>
            <w:tcW w:w="0" w:type="dxa"/>
            <w:vAlign w:val="bottom"/>
          </w:tcPr>
          <w:p>
            <w:pPr>
              <w:spacing w:after="0"/>
              <w:rPr>
                <w:sz w:val="1"/>
                <w:szCs w:val="1"/>
                <w:color w:val="auto"/>
              </w:rPr>
            </w:pPr>
          </w:p>
        </w:tc>
      </w:tr>
      <w:tr>
        <w:trPr>
          <w:trHeight w:val="457"/>
        </w:trPr>
        <w:tc>
          <w:tcPr>
            <w:tcW w:w="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4"/>
              </w:rPr>
              <w:t>4.</w:t>
            </w:r>
            <w:r>
              <w:rPr>
                <w:rFonts w:ascii="Times New Roman" w:cs="Times New Roman" w:eastAsia="Times New Roman" w:hAnsi="Times New Roman"/>
                <w:sz w:val="20"/>
                <w:szCs w:val="20"/>
                <w:u w:val="single" w:color="auto"/>
                <w:color w:val="0000FF"/>
                <w:w w:val="94"/>
              </w:rPr>
              <w:t>2.1</w:t>
            </w: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Supplemental Indenture, dated as of October 14, 2021 (relating to the Indenture dated as of August 20, 2020),</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20" w:type="dxa"/>
            <w:vAlign w:val="bottom"/>
          </w:tcPr>
          <w:p>
            <w:pPr>
              <w:ind w:left="800"/>
              <w:spacing w:after="0" w:line="223" w:lineRule="exact"/>
              <w:rPr>
                <w:sz w:val="20"/>
                <w:szCs w:val="20"/>
                <w:color w:val="auto"/>
              </w:rPr>
            </w:pPr>
            <w:r>
              <w:rPr>
                <w:rFonts w:ascii="Times New Roman" w:cs="Times New Roman" w:eastAsia="Times New Roman" w:hAnsi="Times New Roman"/>
                <w:sz w:val="20"/>
                <w:szCs w:val="20"/>
                <w:color w:val="auto"/>
              </w:rPr>
              <w:t>among ATM National, LLC, Cardtronics Holdings, LLC, Cardtronics, Inc., Cardtronics USA, Inc., CATM</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Holdings LLC, NCR Corporation, NCR International, Inc., and Wells Fargo Bank, National Association, as trustee.</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1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(Exhibit 4.4.1 to the Annual Report on Form 10-K of NCR Corporation for the year ended December 31,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630"/>
          </w:cols>
          <w:pgMar w:left="810" w:top="22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630"/>
          </w:cols>
          <w:pgMar w:left="810" w:top="220" w:right="800" w:bottom="0" w:gutter="0" w:footer="0" w:header="0"/>
          <w:type w:val="continuous"/>
        </w:sectPr>
      </w:pPr>
    </w:p>
    <w:bookmarkStart w:id="121" w:name="page122"/>
    <w:bookmarkEnd w:id="121"/>
    <w:p>
      <w:pPr>
        <w:ind w:left="14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4"/>
              </w:rPr>
              <w:t>4.</w:t>
            </w:r>
            <w:r>
              <w:rPr>
                <w:rFonts w:ascii="Times New Roman" w:cs="Times New Roman" w:eastAsia="Times New Roman" w:hAnsi="Times New Roman"/>
                <w:sz w:val="20"/>
                <w:szCs w:val="20"/>
                <w:u w:val="single" w:color="auto"/>
                <w:color w:val="0000FF"/>
                <w:w w:val="94"/>
              </w:rPr>
              <w:t>2.2</w:t>
            </w:r>
          </w:p>
        </w:tc>
        <w:tc>
          <w:tcPr>
            <w:tcW w:w="400" w:type="dxa"/>
            <w:vAlign w:val="bottom"/>
          </w:tcPr>
          <w:p>
            <w:pPr>
              <w:spacing w:after="0"/>
              <w:rPr>
                <w:sz w:val="21"/>
                <w:szCs w:val="21"/>
                <w:color w:val="auto"/>
              </w:rPr>
            </w:pP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Second Supplemental Indenture, dated as of September 14, 2023, among NCR Corporation, NCR Atleos, LLC,</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ATM National, LLC, Cardtronics Holdings, LLC, Cardtronics, Inc., Cardtronics USA, Inc., CATM Holdings LLC,</w:t>
            </w:r>
          </w:p>
        </w:tc>
      </w:tr>
      <w:tr>
        <w:trPr>
          <w:trHeight w:val="240"/>
        </w:trPr>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NCR International, Inc., and Computershare Trust Company, N.A. (as successor to Wells Fargo Bank, National</w:t>
            </w:r>
          </w:p>
        </w:tc>
      </w:tr>
      <w:tr>
        <w:trPr>
          <w:trHeight w:val="240"/>
        </w:trPr>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Association), as trustee, relating to Registrant's 5.000% Notes due 2028 (Exhibit 4.3 to the Company’s Quarterly</w:t>
            </w:r>
          </w:p>
        </w:tc>
      </w:tr>
      <w:tr>
        <w:trPr>
          <w:trHeight w:val="260"/>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Report on Form 10-Q for the quarter ended September 30, 2023).</w:t>
            </w:r>
          </w:p>
        </w:tc>
      </w:tr>
      <w:tr>
        <w:trPr>
          <w:trHeight w:val="452"/>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4.</w:t>
            </w:r>
            <w:r>
              <w:rPr>
                <w:rFonts w:ascii="Times New Roman" w:cs="Times New Roman" w:eastAsia="Times New Roman" w:hAnsi="Times New Roman"/>
                <w:sz w:val="20"/>
                <w:szCs w:val="20"/>
                <w:u w:val="single" w:color="auto"/>
                <w:color w:val="0000FF"/>
                <w:w w:val="95"/>
              </w:rPr>
              <w:t>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Indenture, dated as of August 20, 2020, among NCR Corporation, NCR International, Inc. and Wells Fargo Bank,</w:t>
            </w:r>
          </w:p>
        </w:tc>
      </w:tr>
      <w:tr>
        <w:trPr>
          <w:trHeight w:val="253"/>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National Association (Exhibit 4.3 to the August 20, 2020 Form 8-K).</w:t>
            </w:r>
          </w:p>
        </w:tc>
      </w:tr>
      <w:tr>
        <w:trPr>
          <w:trHeight w:val="458"/>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4.</w:t>
            </w:r>
            <w:r>
              <w:rPr>
                <w:rFonts w:ascii="Times New Roman" w:cs="Times New Roman" w:eastAsia="Times New Roman" w:hAnsi="Times New Roman"/>
                <w:sz w:val="20"/>
                <w:szCs w:val="20"/>
                <w:u w:val="single" w:color="auto"/>
                <w:color w:val="0000FF"/>
              </w:rPr>
              <w:t>3.1</w:t>
            </w: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Supplemental Indenture, dated as of October 14, 2021 (relating to the Indenture dated as of August 20, 2020),</w:t>
            </w:r>
          </w:p>
        </w:tc>
      </w:tr>
      <w:tr>
        <w:trPr>
          <w:trHeight w:val="232"/>
        </w:trPr>
        <w:tc>
          <w:tcPr>
            <w:tcW w:w="2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among ATM National, LLC, Cardtronics Holdings, LLC, Cardtronics, Inc., Cardtronics USA, Inc., CATM</w:t>
            </w:r>
          </w:p>
        </w:tc>
      </w:tr>
      <w:tr>
        <w:trPr>
          <w:trHeight w:val="211"/>
        </w:trPr>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720" w:type="dxa"/>
            <w:vAlign w:val="bottom"/>
          </w:tcPr>
          <w:p>
            <w:pPr>
              <w:ind w:left="400"/>
              <w:spacing w:after="0" w:line="211" w:lineRule="exact"/>
              <w:rPr>
                <w:sz w:val="20"/>
                <w:szCs w:val="20"/>
                <w:color w:val="auto"/>
              </w:rPr>
            </w:pPr>
            <w:r>
              <w:rPr>
                <w:rFonts w:ascii="Times New Roman" w:cs="Times New Roman" w:eastAsia="Times New Roman" w:hAnsi="Times New Roman"/>
                <w:sz w:val="20"/>
                <w:szCs w:val="20"/>
                <w:color w:val="auto"/>
              </w:rPr>
              <w:t>Holdings LLC, NCR Corporation, NCR International, Inc., and Wells Fargo Bank, National Association, as trustee.</w:t>
            </w:r>
          </w:p>
        </w:tc>
      </w:tr>
      <w:tr>
        <w:trPr>
          <w:trHeight w:val="268"/>
        </w:trPr>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(Exhibit 4.5.1 to Annual Report on Form 10-K of NCR Corporation for the year ended December 31, 2021).</w:t>
            </w:r>
          </w:p>
        </w:tc>
      </w:tr>
      <w:tr>
        <w:trPr>
          <w:trHeight w:val="518"/>
        </w:trPr>
        <w:tc>
          <w:tcPr>
            <w:tcW w:w="800" w:type="dxa"/>
            <w:vAlign w:val="bottom"/>
            <w:gridSpan w:val="3"/>
          </w:tcPr>
          <w:p>
            <w:pPr>
              <w:spacing w:after="0"/>
              <w:rPr>
                <w:sz w:val="20"/>
                <w:szCs w:val="20"/>
                <w:color w:val="auto"/>
              </w:rPr>
            </w:pPr>
            <w:r>
              <w:rPr>
                <w:rFonts w:ascii="Times New Roman" w:cs="Times New Roman" w:eastAsia="Times New Roman" w:hAnsi="Times New Roman"/>
                <w:sz w:val="20"/>
                <w:szCs w:val="20"/>
                <w:u w:val="single" w:color="auto"/>
                <w:color w:val="0000FF"/>
              </w:rPr>
              <w:t>4.3.2</w:t>
            </w:r>
          </w:p>
        </w:tc>
        <w:tc>
          <w:tcPr>
            <w:tcW w:w="97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Exhibit 4.5.1 to Annual Report on Form 10-K of NCR Corporation for the year ended December 31, 2021). Second</w:t>
            </w:r>
          </w:p>
        </w:tc>
      </w:tr>
    </w:tbl>
    <w:p>
      <w:pPr>
        <w:ind w:left="1200" w:right="40"/>
        <w:spacing w:after="0" w:line="252" w:lineRule="auto"/>
        <w:rPr>
          <w:sz w:val="20"/>
          <w:szCs w:val="20"/>
          <w:color w:val="auto"/>
        </w:rPr>
      </w:pPr>
      <w:r>
        <w:rPr>
          <w:rFonts w:ascii="Times New Roman" w:cs="Times New Roman" w:eastAsia="Times New Roman" w:hAnsi="Times New Roman"/>
          <w:sz w:val="20"/>
          <w:szCs w:val="20"/>
          <w:color w:val="auto"/>
        </w:rPr>
        <w:t>Supplemental Indenture, dated as of September 14, 2023, among NCR Corporation, NCR Atleos, LLC, ATM National, LLC, Cardtronics Holdings, LLC, Cardtronics, Inc., Cardtronics USA, Inc., CATM Holdings LLC, NCR International, Inc., and Computershare Trust Company, N.A. (as successor to Wells Fargo Bank, National Association), as trustee, relating to Registrant's 5.250% Notes due 2030 (Exhibit 4.5 to the Company’s Quarterly Report on Form 10-Q for the quarter ended September 30, 2023).</w:t>
      </w:r>
    </w:p>
    <w:p>
      <w:pPr>
        <w:sectPr>
          <w:pgSz w:w="12240" w:h="15840" w:orient="portrait"/>
          <w:cols w:equalWidth="0" w:num="1">
            <w:col w:w="10560"/>
          </w:cols>
          <w:pgMar w:left="860" w:top="220" w:right="820" w:bottom="0" w:gutter="0" w:footer="0" w:header="0"/>
        </w:sect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0000FF"/>
        </w:rPr>
        <w:t>4.4</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4.4.1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0000FF"/>
        </w:rPr>
        <w:t>4.5</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10.1</w:t>
      </w:r>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10.</w:t>
      </w:r>
      <w:r>
        <w:rPr>
          <w:rFonts w:ascii="Times New Roman" w:cs="Times New Roman" w:eastAsia="Times New Roman" w:hAnsi="Times New Roman"/>
          <w:sz w:val="20"/>
          <w:szCs w:val="20"/>
          <w:u w:val="single" w:color="auto"/>
          <w:color w:val="0000FF"/>
        </w:rPr>
        <w:t>2</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0"/>
          <w:szCs w:val="20"/>
          <w:color w:val="auto"/>
        </w:rPr>
        <w:t>Indenture, dated as of April 6, 2021, among NCR Corporation, NCR International, Inc. and U.S. Bank National Association (Exhibit 4.1 to Current Report on Form 8-K of NCR Corporation dated April 6, 2021).</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Supplemental Indenture, dated as of October 14, 2021 (relating to the Indenture dated as of April 6, 2021), among ATM National, LLC, Cardtronics Holdings, LLC, Cardtronics, Inc., Cardtronics USA, Inc., CATM Holdings LLC, NCR International, Inc., and U.S. Bank National Association, as trustee (Exhibit 4.6.1 to the Annual Report on Form 10-K of NCR Corporation for the year ended December 31, 2021).</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Second Supplemental Indenture, dated as of September 14, 2023, among NCR Corporation, NCR Atleos, LLC, ATM National, LLC, Cardtronics Holdings, LLC, Cardtronics, Inc., Cardtronics USA, Inc., CATM Holdings LLC, NCR International, Inc., and Computershare Trust Company, N.A. (as successor to Wells Fargo Bank, National Association), as trustee, relating to Registrant's 5.125% Notes due 2029 (Exhibit 4.4 to the Company’s Quarterly Report on Form 10-Q for the quarter ended September 30, 2023).</w:t>
      </w:r>
    </w:p>
    <w:p>
      <w:pPr>
        <w:spacing w:after="0" w:line="24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0"/>
          <w:szCs w:val="20"/>
          <w:color w:val="auto"/>
        </w:rPr>
        <w:t>Description of Registrant’s Securities Registered Under Section 12 of the Exchange Act (Exhibit 4.7 to the Annual Report on Form 10-K of NCR Corporation for the year ended December 31, 2021).</w:t>
      </w:r>
    </w:p>
    <w:p>
      <w:pPr>
        <w:spacing w:after="0" w:line="19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NCR Voyix Corporation 2024 Executive Severance Plan adopted March 13, 2024 (Exhibit 10.1.3 to the Company’s Annual Report on Form 10-K of NCR Corporation for the year ended December 31, 2021).</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NCR Director Compensation Program effective April 23, 2013, as amended effective February 24, 2014 (the “2013 NCR Director Compensation Program”) (Exhibit 10.42 to the Annual Report on Form 10-K of NCR Corporation for the year ended December 31, 2014).*</w:t>
      </w:r>
    </w:p>
    <w:p>
      <w:pPr>
        <w:spacing w:after="0" w:line="200" w:lineRule="exact"/>
        <w:rPr>
          <w:sz w:val="20"/>
          <w:szCs w:val="20"/>
          <w:color w:val="auto"/>
        </w:rPr>
      </w:pPr>
    </w:p>
    <w:p>
      <w:pPr>
        <w:sectPr>
          <w:pgSz w:w="12240" w:h="15840" w:orient="portrait"/>
          <w:cols w:equalWidth="0" w:num="2">
            <w:col w:w="480" w:space="720"/>
            <w:col w:w="9360"/>
          </w:cols>
          <w:pgMar w:left="860" w:top="220" w:right="820" w:bottom="0" w:gutter="0" w:footer="0" w:header="0"/>
          <w:type w:val="continuous"/>
        </w:sectPr>
      </w:pP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0000FF"/>
                <w:w w:val="91"/>
              </w:rPr>
              <w:t>10.</w:t>
            </w:r>
            <w:r>
              <w:rPr>
                <w:rFonts w:ascii="Times New Roman" w:cs="Times New Roman" w:eastAsia="Times New Roman" w:hAnsi="Times New Roman"/>
                <w:sz w:val="20"/>
                <w:szCs w:val="20"/>
                <w:u w:val="single" w:color="auto"/>
                <w:color w:val="0000FF"/>
                <w:w w:val="91"/>
              </w:rPr>
              <w:t>3</w:t>
            </w:r>
          </w:p>
        </w:tc>
        <w:tc>
          <w:tcPr>
            <w:tcW w:w="160" w:type="dxa"/>
            <w:vAlign w:val="bottom"/>
          </w:tcPr>
          <w:p>
            <w:pPr>
              <w:spacing w:after="0"/>
              <w:rPr>
                <w:sz w:val="21"/>
                <w:szCs w:val="21"/>
                <w:color w:val="auto"/>
              </w:rPr>
            </w:pPr>
          </w:p>
        </w:tc>
        <w:tc>
          <w:tcPr>
            <w:tcW w:w="100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NCR Employee Stock Purchase Plan, as amended and restated effective January 1, 2017 (Appendix A to the Proxy</w:t>
            </w:r>
          </w:p>
        </w:tc>
        <w:tc>
          <w:tcPr>
            <w:tcW w:w="0" w:type="dxa"/>
            <w:vAlign w:val="bottom"/>
          </w:tcPr>
          <w:p>
            <w:pPr>
              <w:spacing w:after="0"/>
              <w:rPr>
                <w:sz w:val="1"/>
                <w:szCs w:val="1"/>
                <w:color w:val="auto"/>
              </w:rPr>
            </w:pPr>
          </w:p>
        </w:tc>
      </w:tr>
      <w:tr>
        <w:trPr>
          <w:trHeight w:val="24"/>
        </w:trPr>
        <w:tc>
          <w:tcPr>
            <w:tcW w:w="340" w:type="dxa"/>
            <w:vAlign w:val="bottom"/>
            <w:tcBorders>
              <w:bottom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004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auto"/>
              </w:rPr>
              <w:t>Statement on Schedule 14A of NCR Corporation for the 2016 Annual Meeting of Stockholders).*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8"/>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4</w:t>
            </w:r>
          </w:p>
        </w:tc>
        <w:tc>
          <w:tcPr>
            <w:tcW w:w="100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Incremental Revolving Facility Agreement (TLA-2 Conversion), dated as of June 24, 2021, among NCR</w:t>
            </w:r>
          </w:p>
        </w:tc>
        <w:tc>
          <w:tcPr>
            <w:tcW w:w="0" w:type="dxa"/>
            <w:vAlign w:val="bottom"/>
          </w:tcPr>
          <w:p>
            <w:pPr>
              <w:spacing w:after="0"/>
              <w:rPr>
                <w:sz w:val="1"/>
                <w:szCs w:val="1"/>
                <w:color w:val="auto"/>
              </w:rPr>
            </w:pPr>
          </w:p>
        </w:tc>
      </w:tr>
      <w:tr>
        <w:trPr>
          <w:trHeight w:val="24"/>
        </w:trPr>
        <w:tc>
          <w:tcPr>
            <w:tcW w:w="340" w:type="dxa"/>
            <w:vAlign w:val="bottom"/>
            <w:tcBorders>
              <w:bottom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004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auto"/>
              </w:rPr>
              <w:t>Corporation, the Foreign Borrowers thereto, the Subsidiary Loan Parties thereto, the Incremental Revolving Lenders</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thereto, and JPMorgan Chase Bank, N.A., as Administrative Agent, including, as Exhibit A thereto, the Amended</w:t>
            </w: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Credit Agreement, dated as of June 24, 2021, among NCR Corporation, the Foreign Borrowers party thereto, the</w:t>
            </w:r>
          </w:p>
        </w:tc>
        <w:tc>
          <w:tcPr>
            <w:tcW w:w="0" w:type="dxa"/>
            <w:vAlign w:val="bottom"/>
          </w:tcPr>
          <w:p>
            <w:pPr>
              <w:spacing w:after="0"/>
              <w:rPr>
                <w:sz w:val="1"/>
                <w:szCs w:val="1"/>
                <w:color w:val="auto"/>
              </w:rPr>
            </w:pPr>
          </w:p>
        </w:tc>
      </w:tr>
      <w:tr>
        <w:trPr>
          <w:trHeight w:val="240"/>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Lenders party thereto and JPMorgan Chase Bank, N.A., as Administrative Agent (Exhibit 10.1 to the Current</w:t>
            </w:r>
          </w:p>
        </w:tc>
        <w:tc>
          <w:tcPr>
            <w:tcW w:w="0" w:type="dxa"/>
            <w:vAlign w:val="bottom"/>
          </w:tcPr>
          <w:p>
            <w:pPr>
              <w:spacing w:after="0"/>
              <w:rPr>
                <w:sz w:val="1"/>
                <w:szCs w:val="1"/>
                <w:color w:val="auto"/>
              </w:rPr>
            </w:pPr>
          </w:p>
        </w:tc>
      </w:tr>
      <w:tr>
        <w:trPr>
          <w:trHeight w:val="260"/>
        </w:trPr>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Report on Form 8-K of NCR Corporation dated June 24, 2021 (the “June 24, 2021 Form 8-K”)).</w:t>
            </w:r>
          </w:p>
        </w:tc>
        <w:tc>
          <w:tcPr>
            <w:tcW w:w="0" w:type="dxa"/>
            <w:vAlign w:val="bottom"/>
          </w:tcPr>
          <w:p>
            <w:pPr>
              <w:spacing w:after="0"/>
              <w:rPr>
                <w:sz w:val="1"/>
                <w:szCs w:val="1"/>
                <w:color w:val="auto"/>
              </w:rPr>
            </w:pPr>
          </w:p>
        </w:tc>
      </w:tr>
      <w:tr>
        <w:trPr>
          <w:trHeight w:val="469"/>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5"/>
              </w:rPr>
              <w:t>10.</w:t>
            </w:r>
            <w:r>
              <w:rPr>
                <w:rFonts w:ascii="Times New Roman" w:cs="Times New Roman" w:eastAsia="Times New Roman" w:hAnsi="Times New Roman"/>
                <w:sz w:val="20"/>
                <w:szCs w:val="20"/>
                <w:u w:val="single" w:color="auto"/>
                <w:color w:val="0000FF"/>
                <w:w w:val="95"/>
              </w:rPr>
              <w:t>4.1</w:t>
            </w:r>
          </w:p>
        </w:tc>
        <w:tc>
          <w:tcPr>
            <w:tcW w:w="100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Fifth Amendment to the Credit Agreement, dated as of December 27, 2022, by and among NCR Corporation, the</w:t>
            </w:r>
          </w:p>
        </w:tc>
        <w:tc>
          <w:tcPr>
            <w:tcW w:w="0" w:type="dxa"/>
            <w:vAlign w:val="bottom"/>
          </w:tcPr>
          <w:p>
            <w:pPr>
              <w:spacing w:after="0"/>
              <w:rPr>
                <w:sz w:val="1"/>
                <w:szCs w:val="1"/>
                <w:color w:val="auto"/>
              </w:rPr>
            </w:pPr>
          </w:p>
        </w:tc>
      </w:tr>
      <w:tr>
        <w:trPr>
          <w:trHeight w:val="24"/>
        </w:trPr>
        <w:tc>
          <w:tcPr>
            <w:tcW w:w="340" w:type="dxa"/>
            <w:vAlign w:val="bottom"/>
            <w:tcBorders>
              <w:bottom w:val="single" w:sz="8" w:color="0000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1004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auto"/>
              </w:rPr>
              <w:t>lenders party thereto and JPMorgan Chase Bank, N.A., as administrative agent. (Exhibit 10.1 to the Current Report</w:t>
            </w: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200"/>
        <w:spacing w:after="0"/>
        <w:rPr>
          <w:sz w:val="20"/>
          <w:szCs w:val="20"/>
          <w:color w:val="auto"/>
        </w:rPr>
      </w:pPr>
      <w:r>
        <w:rPr>
          <w:rFonts w:ascii="Times New Roman" w:cs="Times New Roman" w:eastAsia="Times New Roman" w:hAnsi="Times New Roman"/>
          <w:sz w:val="20"/>
          <w:szCs w:val="20"/>
          <w:color w:val="auto"/>
        </w:rPr>
        <w:t>on Form 8-K of NCR Corporation dated December 27, 2022) *</w:t>
      </w:r>
    </w:p>
    <w:p>
      <w:pPr>
        <w:sectPr>
          <w:pgSz w:w="12240" w:h="15840" w:orient="portrait"/>
          <w:cols w:equalWidth="0" w:num="1">
            <w:col w:w="10560"/>
          </w:cols>
          <w:pgMar w:left="860" w:top="220" w:right="82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560"/>
          </w:cols>
          <w:pgMar w:left="860" w:top="220" w:right="82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ind w:left="1060" w:hanging="1199"/>
        <w:spacing w:after="0" w:line="255"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10.4.2</w:t>
      </w:r>
      <w:r>
        <w:rPr>
          <w:sz w:val="20"/>
          <w:szCs w:val="20"/>
          <w:color w:val="auto"/>
        </w:rPr>
        <w:tab/>
      </w:r>
      <w:r>
        <w:rPr>
          <w:rFonts w:ascii="Times New Roman" w:cs="Times New Roman" w:eastAsia="Times New Roman" w:hAnsi="Times New Roman"/>
          <w:sz w:val="20"/>
          <w:szCs w:val="20"/>
          <w:color w:val="auto"/>
        </w:rPr>
        <w:t>Reaffirmation Agreement, dated as of June 21, 2021, among NCR Corporation, certain foreign and domestic subsidiaries of NCR Corporation party thereto and JPMorgan Chase Bank, N.A., as Administrative Agent (Exhibit 10.2 to the June 24, 2021 Form 8-K).</w:t>
      </w:r>
    </w:p>
    <w:p>
      <w:pPr>
        <w:spacing w:after="0" w:line="197" w:lineRule="exact"/>
        <w:rPr>
          <w:sz w:val="20"/>
          <w:szCs w:val="20"/>
          <w:color w:val="auto"/>
        </w:rPr>
      </w:pPr>
    </w:p>
    <w:p>
      <w:pPr>
        <w:jc w:val="both"/>
        <w:ind w:left="1060" w:hanging="1199"/>
        <w:spacing w:after="0" w:line="247"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10.4.3</w:t>
      </w:r>
      <w:r>
        <w:rPr>
          <w:sz w:val="20"/>
          <w:szCs w:val="20"/>
          <w:color w:val="auto"/>
        </w:rPr>
        <w:tab/>
      </w:r>
      <w:r>
        <w:rPr>
          <w:rFonts w:ascii="Times New Roman" w:cs="Times New Roman" w:eastAsia="Times New Roman" w:hAnsi="Times New Roman"/>
          <w:sz w:val="20"/>
          <w:szCs w:val="20"/>
          <w:color w:val="auto"/>
        </w:rPr>
        <w:t>Amended and Restated Guarantee and Collateral Agreement, dated as of August 22, 2011, as amended and restated as of January 6, 2014, as further amended and restated as of March 31, 2016, by and among NCR Corporation, the Foreign Borrowers party thereto, the subsidiaries of NCR Corporation identified therein and JPMorgan Chase Bank, N.A., as Administrative Agent (Exhibit 10.2 to the Current Report on Form 8-K of NCR Corporation filed on April 4, 2016).</w:t>
      </w:r>
    </w:p>
    <w:p>
      <w:pPr>
        <w:spacing w:after="0" w:line="227" w:lineRule="exact"/>
        <w:rPr>
          <w:sz w:val="20"/>
          <w:szCs w:val="20"/>
          <w:color w:val="auto"/>
        </w:rPr>
      </w:pPr>
    </w:p>
    <w:p>
      <w:pPr>
        <w:jc w:val="both"/>
        <w:ind w:left="1060" w:hanging="1199"/>
        <w:spacing w:after="0" w:line="246"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10.4.3.1</w:t>
      </w:r>
      <w:r>
        <w:rPr>
          <w:sz w:val="20"/>
          <w:szCs w:val="20"/>
          <w:color w:val="auto"/>
        </w:rPr>
        <w:tab/>
      </w:r>
      <w:r>
        <w:rPr>
          <w:rFonts w:ascii="Times New Roman" w:cs="Times New Roman" w:eastAsia="Times New Roman" w:hAnsi="Times New Roman"/>
          <w:sz w:val="20"/>
          <w:szCs w:val="20"/>
          <w:color w:val="auto"/>
        </w:rPr>
        <w:t>Supplement No. 1, dated as of September 30, 2021, to the Amended and Restated Guarantee and Collateral Agreement, dated as of August 22, 2011, as amended and restated as of January 6, 2014, as further amended and restated as of March 31, 2016, among NCR Corporation, the Foreign Borrowers from time to time party thereto, the Subsidiary Loan Parties from time to time party thereto and JPMorgan Chase Bank, N.A., as Administrative Agent (Exhibit 10.5 to the Quarterly Report on Form 10-Q of NCR Corporation for the quarter ended September 30, 2021).</w:t>
      </w:r>
    </w:p>
    <w:p>
      <w:pPr>
        <w:spacing w:after="0" w:line="266" w:lineRule="exact"/>
        <w:rPr>
          <w:sz w:val="20"/>
          <w:szCs w:val="20"/>
          <w:color w:val="auto"/>
        </w:rPr>
      </w:pPr>
    </w:p>
    <w:p>
      <w:pPr>
        <w:jc w:val="both"/>
        <w:ind w:left="1060" w:hanging="1199"/>
        <w:spacing w:after="0" w:line="250"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10.4.3.2</w:t>
      </w:r>
      <w:r>
        <w:rPr>
          <w:sz w:val="20"/>
          <w:szCs w:val="20"/>
          <w:color w:val="auto"/>
        </w:rPr>
        <w:tab/>
      </w:r>
      <w:r>
        <w:rPr>
          <w:rFonts w:ascii="Times New Roman" w:cs="Times New Roman" w:eastAsia="Times New Roman" w:hAnsi="Times New Roman"/>
          <w:sz w:val="20"/>
          <w:szCs w:val="20"/>
          <w:color w:val="auto"/>
        </w:rPr>
        <w:t>Annex A to Credit Agreement dated as of August 22, 2011, as amended and restated as of July 25, 2013, as further amended and restated as of March 31, 2016, among NCR Corporation, the Foreign Borrowers party thereto, the Lenders party thereto and JPMorgan Chase Bank, N.A. (Exhibit 10.1 to the Quarterly Report on Form 10-Q of NCR Corporation for the quarter ended June 30, 2016).</w:t>
      </w:r>
    </w:p>
    <w:p>
      <w:pPr>
        <w:spacing w:after="0" w:line="242" w:lineRule="exact"/>
        <w:rPr>
          <w:sz w:val="20"/>
          <w:szCs w:val="20"/>
          <w:color w:val="auto"/>
        </w:rPr>
      </w:pPr>
    </w:p>
    <w:p>
      <w:pPr>
        <w:jc w:val="both"/>
        <w:ind w:left="1060" w:hanging="1199"/>
        <w:spacing w:after="0" w:line="255"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10.5</w:t>
      </w:r>
      <w:r>
        <w:rPr>
          <w:sz w:val="20"/>
          <w:szCs w:val="20"/>
          <w:color w:val="auto"/>
        </w:rPr>
        <w:tab/>
      </w:r>
      <w:r>
        <w:rPr>
          <w:rFonts w:ascii="Times New Roman" w:cs="Times New Roman" w:eastAsia="Times New Roman" w:hAnsi="Times New Roman"/>
          <w:sz w:val="20"/>
          <w:szCs w:val="20"/>
          <w:color w:val="auto"/>
        </w:rPr>
        <w:t>Second Amended and Restated NCR Management Incentive Plan (Appendix A to the NCR Corporation Proxy Statement on Schedule 14A for the NCR Corporation 2017 Annual Meeting of Stockholders (the “2017 Proxy Statement”). *</w:t>
      </w:r>
    </w:p>
    <w:p>
      <w:pPr>
        <w:spacing w:after="0" w:line="227" w:lineRule="exact"/>
        <w:rPr>
          <w:sz w:val="20"/>
          <w:szCs w:val="20"/>
          <w:color w:val="auto"/>
        </w:rPr>
      </w:pPr>
    </w:p>
    <w:p>
      <w:pPr>
        <w:jc w:val="both"/>
        <w:ind w:left="1060" w:hanging="1199"/>
        <w:spacing w:after="0" w:line="271"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10.6</w:t>
      </w:r>
      <w:r>
        <w:rPr>
          <w:sz w:val="20"/>
          <w:szCs w:val="20"/>
          <w:color w:val="auto"/>
        </w:rPr>
        <w:tab/>
      </w:r>
      <w:r>
        <w:rPr>
          <w:rFonts w:ascii="Times New Roman" w:cs="Times New Roman" w:eastAsia="Times New Roman" w:hAnsi="Times New Roman"/>
          <w:sz w:val="20"/>
          <w:szCs w:val="20"/>
          <w:color w:val="auto"/>
        </w:rPr>
        <w:t>NCR Corporation 2017 Stock Incentive Plan (the “2017 Stock Incentive Plan”) (Appendix B to the 2017 Proxy Statement). *</w:t>
      </w:r>
    </w:p>
    <w:p>
      <w:pPr>
        <w:spacing w:after="0" w:line="171" w:lineRule="exact"/>
        <w:rPr>
          <w:sz w:val="20"/>
          <w:szCs w:val="20"/>
          <w:color w:val="auto"/>
        </w:rPr>
      </w:pPr>
    </w:p>
    <w:p>
      <w:pPr>
        <w:jc w:val="both"/>
        <w:ind w:left="1060" w:hanging="1199"/>
        <w:spacing w:after="0" w:line="271"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10.6.1</w:t>
      </w:r>
      <w:r>
        <w:rPr>
          <w:sz w:val="20"/>
          <w:szCs w:val="20"/>
          <w:color w:val="auto"/>
        </w:rPr>
        <w:tab/>
      </w:r>
      <w:r>
        <w:rPr>
          <w:rFonts w:ascii="Times New Roman" w:cs="Times New Roman" w:eastAsia="Times New Roman" w:hAnsi="Times New Roman"/>
          <w:sz w:val="20"/>
          <w:szCs w:val="20"/>
          <w:color w:val="auto"/>
        </w:rPr>
        <w:t>Form of 2019 Stock Option Award Agreement under the 2017 Stock Incentive Plan (Exhibit 10.1 to the Quarterly Report on Form 10-Q of NCR Corporation for the quarter ended March 31, 2019).*</w:t>
      </w:r>
    </w:p>
    <w:p>
      <w:pPr>
        <w:spacing w:after="0" w:line="201" w:lineRule="exact"/>
        <w:rPr>
          <w:sz w:val="20"/>
          <w:szCs w:val="20"/>
          <w:color w:val="auto"/>
        </w:rPr>
      </w:pPr>
    </w:p>
    <w:p>
      <w:pPr>
        <w:jc w:val="both"/>
        <w:ind w:left="1060" w:hanging="1199"/>
        <w:spacing w:after="0" w:line="271"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10.6.2</w:t>
      </w:r>
      <w:r>
        <w:rPr>
          <w:sz w:val="20"/>
          <w:szCs w:val="20"/>
          <w:color w:val="auto"/>
        </w:rPr>
        <w:tab/>
      </w:r>
      <w:r>
        <w:rPr>
          <w:rFonts w:ascii="Times New Roman" w:cs="Times New Roman" w:eastAsia="Times New Roman" w:hAnsi="Times New Roman"/>
          <w:sz w:val="20"/>
          <w:szCs w:val="20"/>
          <w:color w:val="auto"/>
        </w:rPr>
        <w:t>Form of 2020 Premium-Priced Option Award Agreement under the 2017 Stock Incentive Plan (Exhibit 10.1 to the Quarterly Report on Form 10-Q of NCR Corporation for the quarter ended March 31, 2020).*</w:t>
      </w:r>
    </w:p>
    <w:p>
      <w:pPr>
        <w:spacing w:after="0" w:line="201" w:lineRule="exact"/>
        <w:rPr>
          <w:sz w:val="20"/>
          <w:szCs w:val="20"/>
          <w:color w:val="auto"/>
        </w:rPr>
      </w:pPr>
    </w:p>
    <w:p>
      <w:pPr>
        <w:jc w:val="both"/>
        <w:ind w:left="1060" w:hanging="1199"/>
        <w:spacing w:after="0" w:line="271"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10.6.3</w:t>
      </w:r>
      <w:r>
        <w:rPr>
          <w:sz w:val="20"/>
          <w:szCs w:val="20"/>
          <w:color w:val="auto"/>
        </w:rPr>
        <w:tab/>
      </w:r>
      <w:r>
        <w:rPr>
          <w:rFonts w:ascii="Times New Roman" w:cs="Times New Roman" w:eastAsia="Times New Roman" w:hAnsi="Times New Roman"/>
          <w:sz w:val="20"/>
          <w:szCs w:val="20"/>
          <w:color w:val="auto"/>
        </w:rPr>
        <w:t>Form of 2020 Director Restricted Stock Unit Grant Statement under the 2017 Stock Incentive Plan (Exhibit 10.1 to the Quarterly Report on Form 10-Q of NCR Corporation for the quarter ended June 30, 2020 ).*</w:t>
      </w:r>
    </w:p>
    <w:p>
      <w:pPr>
        <w:spacing w:after="0" w:line="201" w:lineRule="exact"/>
        <w:rPr>
          <w:sz w:val="20"/>
          <w:szCs w:val="20"/>
          <w:color w:val="auto"/>
        </w:rPr>
      </w:pPr>
    </w:p>
    <w:p>
      <w:pPr>
        <w:jc w:val="both"/>
        <w:ind w:left="1060" w:hanging="1199"/>
        <w:spacing w:after="0" w:line="271"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10.6.4</w:t>
      </w:r>
      <w:r>
        <w:rPr>
          <w:sz w:val="20"/>
          <w:szCs w:val="20"/>
          <w:color w:val="auto"/>
        </w:rPr>
        <w:tab/>
      </w:r>
      <w:r>
        <w:rPr>
          <w:rFonts w:ascii="Times New Roman" w:cs="Times New Roman" w:eastAsia="Times New Roman" w:hAnsi="Times New Roman"/>
          <w:sz w:val="20"/>
          <w:szCs w:val="20"/>
          <w:color w:val="auto"/>
        </w:rPr>
        <w:t>First Amendment to the 2017 Stock Incentive Plan (Appendix A to the Proxy Statement on Schedule 14A of NCR Corporation for the 2020 Annual Meeting of Stockholders).*</w:t>
      </w:r>
    </w:p>
    <w:p>
      <w:pPr>
        <w:spacing w:after="0" w:line="201" w:lineRule="exact"/>
        <w:rPr>
          <w:sz w:val="20"/>
          <w:szCs w:val="20"/>
          <w:color w:val="auto"/>
        </w:rPr>
      </w:pPr>
    </w:p>
    <w:p>
      <w:pPr>
        <w:jc w:val="both"/>
        <w:ind w:left="1060" w:hanging="1199"/>
        <w:spacing w:after="0" w:line="271"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10.6.5</w:t>
      </w:r>
      <w:r>
        <w:rPr>
          <w:sz w:val="20"/>
          <w:szCs w:val="20"/>
          <w:color w:val="auto"/>
        </w:rPr>
        <w:tab/>
      </w:r>
      <w:r>
        <w:rPr>
          <w:rFonts w:ascii="Times New Roman" w:cs="Times New Roman" w:eastAsia="Times New Roman" w:hAnsi="Times New Roman"/>
          <w:sz w:val="20"/>
          <w:szCs w:val="20"/>
          <w:color w:val="auto"/>
        </w:rPr>
        <w:t>Second Amendment to the NCR Corporation 2017 Stock Incentive Plan (Appendix A to the Proxy Statement on Schedule 14A of NCR Corporation for the 2023 Annual Meeting of Stockholders).*</w:t>
      </w:r>
    </w:p>
    <w:p>
      <w:pPr>
        <w:spacing w:after="0" w:line="201" w:lineRule="exact"/>
        <w:rPr>
          <w:sz w:val="20"/>
          <w:szCs w:val="20"/>
          <w:color w:val="auto"/>
        </w:rPr>
      </w:pPr>
    </w:p>
    <w:p>
      <w:pPr>
        <w:jc w:val="both"/>
        <w:ind w:left="1060" w:hanging="1199"/>
        <w:spacing w:after="0" w:line="255"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10.6.6</w:t>
      </w:r>
      <w:r>
        <w:rPr>
          <w:sz w:val="20"/>
          <w:szCs w:val="20"/>
          <w:color w:val="auto"/>
        </w:rPr>
        <w:tab/>
      </w:r>
      <w:r>
        <w:rPr>
          <w:rFonts w:ascii="Times New Roman" w:cs="Times New Roman" w:eastAsia="Times New Roman" w:hAnsi="Times New Roman"/>
          <w:sz w:val="20"/>
          <w:szCs w:val="20"/>
          <w:color w:val="auto"/>
        </w:rPr>
        <w:t>Form of Senior Executive Team 2022 Performance-Based Restricted Stock Unit Award Agreement (With Relative TSR Metric) under the NCR Corporation 2017 Stock Incentive Plan (Exhibit 10.1 to the Quarterly Report on Form 10-Q of NCR Corporation for the quarter ended March 31, 2022).*</w:t>
      </w:r>
    </w:p>
    <w:p>
      <w:pPr>
        <w:spacing w:after="0" w:line="227" w:lineRule="exact"/>
        <w:rPr>
          <w:sz w:val="20"/>
          <w:szCs w:val="20"/>
          <w:color w:val="auto"/>
        </w:rPr>
      </w:pPr>
    </w:p>
    <w:p>
      <w:pPr>
        <w:jc w:val="both"/>
        <w:ind w:left="1060" w:hanging="1199"/>
        <w:spacing w:after="0" w:line="255"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10.6.7</w:t>
      </w:r>
      <w:r>
        <w:rPr>
          <w:sz w:val="20"/>
          <w:szCs w:val="20"/>
          <w:color w:val="auto"/>
        </w:rPr>
        <w:tab/>
      </w:r>
      <w:r>
        <w:rPr>
          <w:rFonts w:ascii="Times New Roman" w:cs="Times New Roman" w:eastAsia="Times New Roman" w:hAnsi="Times New Roman"/>
          <w:sz w:val="20"/>
          <w:szCs w:val="20"/>
          <w:color w:val="auto"/>
        </w:rPr>
        <w:t>Form of Senior Executive Team 2022 Performance-Based Restricted Stock Unit Award Agreement (with LTI EBITDA and LTI Recurring Revenue Metric) under the NCR Corporation 2017 Stock Incentive Plan (Exhibit 10.9.8 to the Annual Report on Form 10-K of NCR Corporation for the year ended December 31, 2022).*</w:t>
      </w:r>
    </w:p>
    <w:p>
      <w:pPr>
        <w:spacing w:after="0" w:line="227" w:lineRule="exact"/>
        <w:rPr>
          <w:sz w:val="20"/>
          <w:szCs w:val="20"/>
          <w:color w:val="auto"/>
        </w:rPr>
      </w:pPr>
    </w:p>
    <w:p>
      <w:pPr>
        <w:jc w:val="both"/>
        <w:ind w:left="1060" w:hanging="1199"/>
        <w:spacing w:after="0" w:line="255" w:lineRule="auto"/>
        <w:tabs>
          <w:tab w:leader="none" w:pos="1040" w:val="left"/>
        </w:tabs>
        <w:rPr>
          <w:sz w:val="20"/>
          <w:szCs w:val="20"/>
          <w:color w:val="auto"/>
        </w:rPr>
      </w:pPr>
      <w:r>
        <w:rPr>
          <w:rFonts w:ascii="Times New Roman" w:cs="Times New Roman" w:eastAsia="Times New Roman" w:hAnsi="Times New Roman"/>
          <w:sz w:val="20"/>
          <w:szCs w:val="20"/>
          <w:u w:val="single" w:color="auto"/>
          <w:color w:val="0000FF"/>
        </w:rPr>
        <w:t>10.6.8</w:t>
      </w:r>
      <w:r>
        <w:rPr>
          <w:sz w:val="20"/>
          <w:szCs w:val="20"/>
          <w:color w:val="auto"/>
        </w:rPr>
        <w:tab/>
      </w:r>
      <w:r>
        <w:rPr>
          <w:rFonts w:ascii="Times New Roman" w:cs="Times New Roman" w:eastAsia="Times New Roman" w:hAnsi="Times New Roman"/>
          <w:sz w:val="20"/>
          <w:szCs w:val="20"/>
          <w:color w:val="auto"/>
        </w:rPr>
        <w:t>Form of Senior Executive Team Qualified Transaction 2023 Performance-Based Restricted Stock Unit Award Agreement (with Relative TSR Metric) under the NCR Corporation 2017 Stock Incentive Plan (Exhibit 10.9.9 to the Annual Report on Form 10-K of NCR Corporation for the year ended December 31, 2022).*</w:t>
      </w:r>
    </w:p>
    <w:p>
      <w:pPr>
        <w:sectPr>
          <w:pgSz w:w="12240" w:h="15840" w:orient="portrait"/>
          <w:cols w:equalWidth="0" w:num="1">
            <w:col w:w="10380"/>
          </w:cols>
          <w:pgMar w:left="1000" w:top="22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380"/>
          </w:cols>
          <w:pgMar w:left="1000" w:top="220" w:right="860" w:bottom="0" w:gutter="0" w:footer="0" w:header="0"/>
          <w:type w:val="continuous"/>
        </w:sectPr>
      </w:pPr>
    </w:p>
    <w:bookmarkStart w:id="123" w:name="page124"/>
    <w:bookmarkEnd w:id="123"/>
    <w:p>
      <w:pPr>
        <w:ind w:left="14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both"/>
        <w:ind w:left="1200" w:hanging="1199"/>
        <w:spacing w:after="0" w:line="255" w:lineRule="auto"/>
        <w:tabs>
          <w:tab w:leader="none" w:pos="1180" w:val="left"/>
        </w:tabs>
        <w:rPr>
          <w:sz w:val="20"/>
          <w:szCs w:val="20"/>
          <w:color w:val="auto"/>
        </w:rPr>
      </w:pPr>
      <w:r>
        <w:rPr>
          <w:rFonts w:ascii="Times New Roman" w:cs="Times New Roman" w:eastAsia="Times New Roman" w:hAnsi="Times New Roman"/>
          <w:sz w:val="20"/>
          <w:szCs w:val="20"/>
          <w:u w:val="single" w:color="auto"/>
          <w:color w:val="0000FF"/>
        </w:rPr>
        <w:t>10.6.9</w:t>
      </w:r>
      <w:r>
        <w:rPr>
          <w:sz w:val="20"/>
          <w:szCs w:val="20"/>
          <w:color w:val="auto"/>
        </w:rPr>
        <w:tab/>
      </w:r>
      <w:r>
        <w:rPr>
          <w:rFonts w:ascii="Times New Roman" w:cs="Times New Roman" w:eastAsia="Times New Roman" w:hAnsi="Times New Roman"/>
          <w:sz w:val="20"/>
          <w:szCs w:val="20"/>
          <w:color w:val="auto"/>
        </w:rPr>
        <w:t>Form of Senior Executive Team 2023 Performance-Based Restricted Stock Unit Award Agreement (with Relative TSR Metric) under the NCR Corporation 2017 Stock Incentive Plan (Exhibit 10.9.10 to the Annual Report on Form 10-K of NCR Corporation for the year ended December 31, 2022).*</w:t>
      </w:r>
    </w:p>
    <w:p>
      <w:pPr>
        <w:sectPr>
          <w:pgSz w:w="12240" w:h="15840" w:orient="portrait"/>
          <w:cols w:equalWidth="0" w:num="1">
            <w:col w:w="10520"/>
          </w:cols>
          <w:pgMar w:left="860" w:top="220" w:right="860" w:bottom="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10.6.10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10.6.11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10.6.12</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Form of Senior Executive Team 2024 Time-Based Restricted Stock Unit Award Agreement under the NCR Corporation 2017 Stock Incentive Plan (Exhibit 10.6 to the Quarterly Report on Form 10-Q for the quarter ended June 30, 2024).*</w:t>
      </w:r>
    </w:p>
    <w:p>
      <w:pPr>
        <w:spacing w:after="0" w:line="24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Form of Senior Executive Team 2024 Performance-Based Restricted Stock Unit Award Agreement under the NCR Corporation 2017 Stock Incentive Plan. *(Exhibit 10.7 to the Quarterly Report on Form 10-Q for the quarter ended June 30, 2024).*</w:t>
      </w:r>
    </w:p>
    <w:p>
      <w:pPr>
        <w:spacing w:after="0" w:line="23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Form of Executive Chair Performance-Based Restricted Stock Unit Award Agreement under the NCR Corporation 2017 Stock Incentive Plan (November 2024) (Exhibit 10.6.15 to the Company’s Annual Report on Form 10-K for the year ended December 31, 2024).*</w:t>
      </w:r>
    </w:p>
    <w:p>
      <w:pPr>
        <w:spacing w:after="0" w:line="200" w:lineRule="exact"/>
        <w:rPr>
          <w:sz w:val="20"/>
          <w:szCs w:val="20"/>
          <w:color w:val="auto"/>
        </w:rPr>
      </w:pPr>
    </w:p>
    <w:p>
      <w:pPr>
        <w:sectPr>
          <w:pgSz w:w="12240" w:h="15840" w:orient="portrait"/>
          <w:cols w:equalWidth="0" w:num="2">
            <w:col w:w="600" w:space="600"/>
            <w:col w:w="9320"/>
          </w:cols>
          <w:pgMar w:left="860" w:top="220" w:right="860" w:bottom="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6.13</w:t>
            </w: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Form of Senior Executive Team Performance-Based Restricted Stock Unit Award Agreement under the NCR</w:t>
            </w:r>
          </w:p>
        </w:tc>
      </w:tr>
      <w:tr>
        <w:trPr>
          <w:trHeight w:val="17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20" w:type="dxa"/>
            <w:vAlign w:val="bottom"/>
          </w:tcPr>
          <w:p>
            <w:pPr>
              <w:ind w:left="600"/>
              <w:spacing w:after="0" w:line="173" w:lineRule="exact"/>
              <w:rPr>
                <w:sz w:val="20"/>
                <w:szCs w:val="20"/>
                <w:color w:val="auto"/>
              </w:rPr>
            </w:pPr>
            <w:r>
              <w:rPr>
                <w:rFonts w:ascii="Times New Roman" w:cs="Times New Roman" w:eastAsia="Times New Roman" w:hAnsi="Times New Roman"/>
                <w:sz w:val="20"/>
                <w:szCs w:val="20"/>
                <w:color w:val="auto"/>
              </w:rPr>
              <w:t>Corporation 2017 Stock Incentive Plan (November 2024) (Exhibit 10.6.16 to the Company’s Annual Report on</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Form 10-K for the year ended December 31, 2024).*</w:t>
            </w:r>
          </w:p>
        </w:tc>
      </w:tr>
      <w:tr>
        <w:trPr>
          <w:trHeight w:val="447"/>
        </w:trPr>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6.14</w:t>
            </w: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Form of Executive Chair 2024 Performance-Based Restricted Stock Unit Award Agreement under the NCR</w:t>
            </w:r>
          </w:p>
        </w:tc>
      </w:tr>
      <w:tr>
        <w:trPr>
          <w:trHeight w:val="17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20" w:type="dxa"/>
            <w:vAlign w:val="bottom"/>
          </w:tcPr>
          <w:p>
            <w:pPr>
              <w:ind w:left="600"/>
              <w:spacing w:after="0" w:line="173" w:lineRule="exact"/>
              <w:rPr>
                <w:sz w:val="20"/>
                <w:szCs w:val="20"/>
                <w:color w:val="auto"/>
              </w:rPr>
            </w:pPr>
            <w:r>
              <w:rPr>
                <w:rFonts w:ascii="Times New Roman" w:cs="Times New Roman" w:eastAsia="Times New Roman" w:hAnsi="Times New Roman"/>
                <w:sz w:val="20"/>
                <w:szCs w:val="20"/>
                <w:color w:val="auto"/>
              </w:rPr>
              <w:t>Corporation 2017 Stock Incentive Plan (Exhibit 10.3 to the Quarterly Report on Form 10-Q for the quarter ended</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June 30, 2024).*</w:t>
            </w:r>
          </w:p>
        </w:tc>
      </w:tr>
      <w:tr>
        <w:trPr>
          <w:trHeight w:val="432"/>
        </w:trPr>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6.15</w:t>
            </w: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Form of Executive Chair 2024 Time-Based Restricted Stock Unit Award Agreement under the NCR Corporation</w:t>
            </w: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2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2017 Stock Incentive Plan (Exhibit 10.4 to the Quarterly Report on Form 10-Q for the quarter ended June 30,</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2024).*</w:t>
            </w:r>
          </w:p>
        </w:tc>
      </w:tr>
      <w:tr>
        <w:trPr>
          <w:trHeight w:val="457"/>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NCR Director Compensation Program effective May 1, 2017 (Exhibit 10.1 to the Quarterly Report on Form 10-Q of</w:t>
            </w:r>
          </w:p>
        </w:tc>
      </w:tr>
      <w:tr>
        <w:trPr>
          <w:trHeight w:val="25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NCR Corporation for the quarter ended September 30, 2017). *</w:t>
            </w:r>
          </w:p>
        </w:tc>
      </w:tr>
      <w:tr>
        <w:trPr>
          <w:trHeight w:val="417"/>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Employment Agreement, dated September 25, 2023, between David Wilkinson and NCR Corporation (Exhibit</w:t>
            </w:r>
          </w:p>
        </w:tc>
      </w:tr>
      <w:tr>
        <w:trPr>
          <w:trHeight w:val="243"/>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10.17 to the Company’s Quarterly Report on Form 10-Q for the quarter ended September 30, 2023).*</w:t>
            </w:r>
          </w:p>
        </w:tc>
      </w:tr>
      <w:tr>
        <w:trPr>
          <w:trHeight w:val="427"/>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5"/>
              </w:rPr>
              <w:t>10.</w:t>
            </w:r>
            <w:r>
              <w:rPr>
                <w:rFonts w:ascii="Times New Roman" w:cs="Times New Roman" w:eastAsia="Times New Roman" w:hAnsi="Times New Roman"/>
                <w:sz w:val="20"/>
                <w:szCs w:val="20"/>
                <w:u w:val="single" w:color="auto"/>
                <w:color w:val="0000FF"/>
                <w:w w:val="95"/>
              </w:rPr>
              <w:t>8.1</w:t>
            </w:r>
          </w:p>
        </w:tc>
        <w:tc>
          <w:tcPr>
            <w:tcW w:w="1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Amendment to Employment Agreement, dated March 13, 2024, between David Wilkinson and NCR Voyix</w:t>
            </w:r>
          </w:p>
        </w:tc>
      </w:tr>
      <w:tr>
        <w:trPr>
          <w:trHeight w:val="223"/>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92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Corporation  (Exhibit 10.17.1 to the Annual Report on Form 10-K of NCR Voyix Corporation for the year ended</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December 31, 2023 (the “2023 Form 10-K”)). *</w:t>
            </w:r>
          </w:p>
        </w:tc>
      </w:tr>
      <w:tr>
        <w:trPr>
          <w:trHeight w:val="457"/>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Letter Agreement, dated June 9, 2023, between Brian Webb-Walsh and NCR Corporation (Exhibit 10.18 to the</w:t>
            </w:r>
          </w:p>
        </w:tc>
      </w:tr>
      <w:tr>
        <w:trPr>
          <w:trHeight w:val="25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2023 Form 10-K).*</w:t>
            </w:r>
          </w:p>
        </w:tc>
      </w:tr>
      <w:tr>
        <w:trPr>
          <w:trHeight w:val="477"/>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5"/>
              </w:rPr>
              <w:t>10.</w:t>
            </w:r>
            <w:r>
              <w:rPr>
                <w:rFonts w:ascii="Times New Roman" w:cs="Times New Roman" w:eastAsia="Times New Roman" w:hAnsi="Times New Roman"/>
                <w:sz w:val="20"/>
                <w:szCs w:val="20"/>
                <w:u w:val="single" w:color="auto"/>
                <w:color w:val="0000FF"/>
                <w:w w:val="95"/>
              </w:rPr>
              <w:t>9.1</w:t>
            </w:r>
          </w:p>
        </w:tc>
        <w:tc>
          <w:tcPr>
            <w:tcW w:w="1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Amendment to Letter Agreement, dated March 13, 2024, between Brian Webb-Walsh and NCR Voyix Corporation</w:t>
            </w:r>
          </w:p>
        </w:tc>
      </w:tr>
      <w:tr>
        <w:trPr>
          <w:trHeight w:val="25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(Exhibit 10.18.1 to the 2023 Form 10-K).*</w:t>
            </w:r>
          </w:p>
        </w:tc>
      </w:tr>
      <w:tr>
        <w:trPr>
          <w:trHeight w:val="447"/>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Letter Agreement, dated July 26, 2023, between Kelli Sterrett and NCR Corporation (Exhibit 10.19 to the 2023</w:t>
            </w:r>
          </w:p>
        </w:tc>
      </w:tr>
      <w:tr>
        <w:trPr>
          <w:trHeight w:val="25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Form 10-K).*</w:t>
            </w:r>
          </w:p>
        </w:tc>
      </w:tr>
      <w:tr>
        <w:trPr>
          <w:trHeight w:val="447"/>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Letter Agreement, dated October 21, 2016, between Eric Schoch and NCR Corporation (Exhibit 10.21 to the 2023</w:t>
            </w:r>
          </w:p>
        </w:tc>
      </w:tr>
      <w:tr>
        <w:trPr>
          <w:trHeight w:val="25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Form 10-K).*</w:t>
            </w:r>
          </w:p>
        </w:tc>
      </w:tr>
      <w:tr>
        <w:trPr>
          <w:trHeight w:val="447"/>
        </w:trPr>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11.1</w:t>
            </w: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Amendment to Letter Agreement, dated September 15, 2023, between Eric Schoch and NCR Corporation (Exhibit</w:t>
            </w:r>
          </w:p>
        </w:tc>
      </w:tr>
      <w:tr>
        <w:trPr>
          <w:trHeight w:val="25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10.21.1 to the 2023 Form 10-K).*</w:t>
            </w:r>
          </w:p>
        </w:tc>
      </w:tr>
      <w:tr>
        <w:trPr>
          <w:trHeight w:val="447"/>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Amended and Restated Management Incentive Plan (Exhibit 10.1 to the Company’s Quarterly Report on Form 10-</w:t>
            </w:r>
          </w:p>
        </w:tc>
      </w:tr>
      <w:tr>
        <w:trPr>
          <w:trHeight w:val="25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Q for the quarter ended June 30, 2024).*</w:t>
            </w:r>
          </w:p>
        </w:tc>
      </w:tr>
      <w:tr>
        <w:trPr>
          <w:trHeight w:val="447"/>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Offer Letter Agreement, dated May 8, 2024, between James G. Kelly and NCR Voyix Corporation (Exhibit 10.2 to</w:t>
            </w:r>
          </w:p>
        </w:tc>
      </w:tr>
      <w:tr>
        <w:trPr>
          <w:trHeight w:val="253"/>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the Quarterly Report on Form 10-Q for the quarter ended June 30, 2024).*</w:t>
            </w:r>
          </w:p>
        </w:tc>
      </w:tr>
    </w:tbl>
    <w:p>
      <w:pPr>
        <w:spacing w:after="0" w:line="200" w:lineRule="exact"/>
        <w:rPr>
          <w:sz w:val="20"/>
          <w:szCs w:val="20"/>
          <w:color w:val="auto"/>
        </w:rPr>
      </w:pPr>
    </w:p>
    <w:p>
      <w:pPr>
        <w:sectPr>
          <w:pgSz w:w="12240" w:h="15840" w:orient="portrait"/>
          <w:cols w:equalWidth="0" w:num="1">
            <w:col w:w="10520"/>
          </w:cols>
          <w:pgMar w:left="860" w:top="220" w:right="8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520"/>
          </w:cols>
          <w:pgMar w:left="860" w:top="220" w:right="860" w:bottom="0" w:gutter="0" w:footer="0" w:header="0"/>
          <w:type w:val="continuous"/>
        </w:sectPr>
      </w:pPr>
    </w:p>
    <w:bookmarkStart w:id="124" w:name="page125"/>
    <w:bookmarkEnd w:id="124"/>
    <w:p>
      <w:pPr>
        <w:ind w:left="14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14</w:t>
            </w:r>
          </w:p>
        </w:tc>
        <w:tc>
          <w:tcPr>
            <w:tcW w:w="140" w:type="dxa"/>
            <w:vAlign w:val="bottom"/>
          </w:tcPr>
          <w:p>
            <w:pPr>
              <w:spacing w:after="0"/>
              <w:rPr>
                <w:sz w:val="19"/>
                <w:szCs w:val="19"/>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Offer Letter Agreement, dated May 13, 2024, between Anthony Radesca and NCR Voyix Corporation (Exhibit 10.5</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to the Company’s Quarterly Report on Form 10-Q for the quarter ended June 30, 2024).*</w:t>
            </w:r>
          </w:p>
        </w:tc>
        <w:tc>
          <w:tcPr>
            <w:tcW w:w="0" w:type="dxa"/>
            <w:vAlign w:val="bottom"/>
          </w:tcPr>
          <w:p>
            <w:pPr>
              <w:spacing w:after="0"/>
              <w:rPr>
                <w:sz w:val="1"/>
                <w:szCs w:val="1"/>
                <w:color w:val="auto"/>
              </w:rPr>
            </w:pPr>
          </w:p>
        </w:tc>
      </w:tr>
      <w:tr>
        <w:trPr>
          <w:trHeight w:val="432"/>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15</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Offer Letter, dated February 4, 2025, between the Company and James Kelly (Exhibit 10.1 to the Company’s</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Current Report on Form 8-K filed on February 5, 2025 (the “February 5, 2025 Form 8-K”).*</w:t>
            </w:r>
          </w:p>
        </w:tc>
        <w:tc>
          <w:tcPr>
            <w:tcW w:w="0" w:type="dxa"/>
            <w:vAlign w:val="bottom"/>
          </w:tcPr>
          <w:p>
            <w:pPr>
              <w:spacing w:after="0"/>
              <w:rPr>
                <w:sz w:val="1"/>
                <w:szCs w:val="1"/>
                <w:color w:val="auto"/>
              </w:rPr>
            </w:pPr>
          </w:p>
        </w:tc>
      </w:tr>
      <w:tr>
        <w:trPr>
          <w:trHeight w:val="41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16</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Separation Agreement and General Waiver and Release, dated February 4, 2025, between the Company and David</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Wilkinson (Exhibit 10.2 to the February 5, 2025 Form 8-K).*</w:t>
            </w:r>
          </w:p>
        </w:tc>
        <w:tc>
          <w:tcPr>
            <w:tcW w:w="0" w:type="dxa"/>
            <w:vAlign w:val="bottom"/>
          </w:tcPr>
          <w:p>
            <w:pPr>
              <w:spacing w:after="0"/>
              <w:rPr>
                <w:sz w:val="1"/>
                <w:szCs w:val="1"/>
                <w:color w:val="auto"/>
              </w:rPr>
            </w:pPr>
          </w:p>
        </w:tc>
      </w:tr>
      <w:tr>
        <w:trPr>
          <w:trHeight w:val="44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17</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NCR Voyix Director and Officer Form Indemnification Agreement (Exhibit 10.18 to the Annual Report on Form</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10-K of NCR Voyix Corporation for the year ended December 31, 2024).</w:t>
            </w:r>
          </w:p>
        </w:tc>
        <w:tc>
          <w:tcPr>
            <w:tcW w:w="0" w:type="dxa"/>
            <w:vAlign w:val="bottom"/>
          </w:tcPr>
          <w:p>
            <w:pPr>
              <w:spacing w:after="0"/>
              <w:rPr>
                <w:sz w:val="1"/>
                <w:szCs w:val="1"/>
                <w:color w:val="auto"/>
              </w:rPr>
            </w:pPr>
          </w:p>
        </w:tc>
      </w:tr>
      <w:tr>
        <w:trPr>
          <w:trHeight w:val="44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18</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Credit Agreement, dated as of September 27, 2023, among NCR Atleos LLC, NCR Atleos Escrow Corporation, the</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2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lenders party thereto, any foreign borrower party thereto and Bank of America, N.A., as administrative agent</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(Exhibit 10.1 to the Company’s Current Report on Form 8-K filed on September 28, 2023).</w:t>
            </w:r>
          </w:p>
        </w:tc>
        <w:tc>
          <w:tcPr>
            <w:tcW w:w="0" w:type="dxa"/>
            <w:vAlign w:val="bottom"/>
          </w:tcPr>
          <w:p>
            <w:pPr>
              <w:spacing w:after="0"/>
              <w:rPr>
                <w:sz w:val="1"/>
                <w:szCs w:val="1"/>
                <w:color w:val="auto"/>
              </w:rPr>
            </w:pPr>
          </w:p>
        </w:tc>
      </w:tr>
      <w:tr>
        <w:trPr>
          <w:trHeight w:val="45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19</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Transition Services Agreement, dated as of October 16, 2023, by and between NCR Voyix Corporation and NCR</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Atleos Corporation (Exhibit 10.1 to the October 17, 2023 8-K)</w:t>
            </w:r>
          </w:p>
        </w:tc>
        <w:tc>
          <w:tcPr>
            <w:tcW w:w="0" w:type="dxa"/>
            <w:vAlign w:val="bottom"/>
          </w:tcPr>
          <w:p>
            <w:pPr>
              <w:spacing w:after="0"/>
              <w:rPr>
                <w:sz w:val="1"/>
                <w:szCs w:val="1"/>
                <w:color w:val="auto"/>
              </w:rPr>
            </w:pPr>
          </w:p>
        </w:tc>
      </w:tr>
      <w:tr>
        <w:trPr>
          <w:trHeight w:val="44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20</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Tax Matters Agreement, dated as of October 16, 2023, by and between NCR Voyix Corporation and NCR Atleos</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Corporation (Exhibit 10.2 to the October 17, 2023 8-K)</w:t>
            </w:r>
          </w:p>
        </w:tc>
        <w:tc>
          <w:tcPr>
            <w:tcW w:w="0" w:type="dxa"/>
            <w:vAlign w:val="bottom"/>
          </w:tcPr>
          <w:p>
            <w:pPr>
              <w:spacing w:after="0"/>
              <w:rPr>
                <w:sz w:val="1"/>
                <w:szCs w:val="1"/>
                <w:color w:val="auto"/>
              </w:rPr>
            </w:pPr>
          </w:p>
        </w:tc>
      </w:tr>
      <w:tr>
        <w:trPr>
          <w:trHeight w:val="462"/>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21</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Employee Matters Agreement, dated as of October 16, 2023, by and between NCR Voyix Corporation and NCR</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Atleos Corporation (Exhibit 10.3 to the October 17, 2023 8-K)</w:t>
            </w:r>
          </w:p>
        </w:tc>
        <w:tc>
          <w:tcPr>
            <w:tcW w:w="0" w:type="dxa"/>
            <w:vAlign w:val="bottom"/>
          </w:tcPr>
          <w:p>
            <w:pPr>
              <w:spacing w:after="0"/>
              <w:rPr>
                <w:sz w:val="1"/>
                <w:szCs w:val="1"/>
                <w:color w:val="auto"/>
              </w:rPr>
            </w:pPr>
          </w:p>
        </w:tc>
      </w:tr>
      <w:tr>
        <w:trPr>
          <w:trHeight w:val="44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22</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Patent and Technology Cross-License Agreement, dated as of October 16, 2023, by and between NCR Voyix</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Corporation and NCR Atleos Corporation (Exhibit 10.4 to the October 17, 2023 8-K)</w:t>
            </w:r>
          </w:p>
        </w:tc>
        <w:tc>
          <w:tcPr>
            <w:tcW w:w="0" w:type="dxa"/>
            <w:vAlign w:val="bottom"/>
          </w:tcPr>
          <w:p>
            <w:pPr>
              <w:spacing w:after="0"/>
              <w:rPr>
                <w:sz w:val="1"/>
                <w:szCs w:val="1"/>
                <w:color w:val="auto"/>
              </w:rPr>
            </w:pPr>
          </w:p>
        </w:tc>
      </w:tr>
      <w:tr>
        <w:trPr>
          <w:trHeight w:val="44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23</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Trademark License and Use Agreement, dated as of October 16 ,2023, by and between NCR Voyix Corporation and</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NCR Atleos Corporation (Exhibit 10.5 to the October 17, 2023 8-K)</w:t>
            </w:r>
          </w:p>
        </w:tc>
        <w:tc>
          <w:tcPr>
            <w:tcW w:w="0" w:type="dxa"/>
            <w:vAlign w:val="bottom"/>
          </w:tcPr>
          <w:p>
            <w:pPr>
              <w:spacing w:after="0"/>
              <w:rPr>
                <w:sz w:val="1"/>
                <w:szCs w:val="1"/>
                <w:color w:val="auto"/>
              </w:rPr>
            </w:pPr>
          </w:p>
        </w:tc>
      </w:tr>
      <w:tr>
        <w:trPr>
          <w:trHeight w:val="44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24</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Master Services Agreement, dated October 16, 2023, by and between NCR Voyix Corporation and Cardtronics</w:t>
            </w:r>
          </w:p>
        </w:tc>
        <w:tc>
          <w:tcPr>
            <w:tcW w:w="0" w:type="dxa"/>
            <w:vAlign w:val="bottom"/>
          </w:tcPr>
          <w:p>
            <w:pPr>
              <w:spacing w:after="0"/>
              <w:rPr>
                <w:sz w:val="1"/>
                <w:szCs w:val="1"/>
                <w:color w:val="auto"/>
              </w:rPr>
            </w:pPr>
          </w:p>
        </w:tc>
      </w:tr>
      <w:tr>
        <w:trPr>
          <w:trHeight w:val="253"/>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USA, Inc. (Exhibit 10.6 to the October 17, 2023 8-K)</w:t>
            </w:r>
          </w:p>
        </w:tc>
        <w:tc>
          <w:tcPr>
            <w:tcW w:w="0" w:type="dxa"/>
            <w:vAlign w:val="bottom"/>
          </w:tcPr>
          <w:p>
            <w:pPr>
              <w:spacing w:after="0"/>
              <w:rPr>
                <w:sz w:val="1"/>
                <w:szCs w:val="1"/>
                <w:color w:val="auto"/>
              </w:rPr>
            </w:pPr>
          </w:p>
        </w:tc>
      </w:tr>
      <w:tr>
        <w:trPr>
          <w:trHeight w:val="44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25</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Manufacturing Services Agreement, dated October 16, 2023, by and between NCR Voyix Corporation and Terafina</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2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Software Solutions Private Limited and NCR Corporation India Private Limited (Exhibit 10.7 to the October 17,</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2023 8-K)</w:t>
            </w:r>
          </w:p>
        </w:tc>
        <w:tc>
          <w:tcPr>
            <w:tcW w:w="0" w:type="dxa"/>
            <w:vAlign w:val="bottom"/>
          </w:tcPr>
          <w:p>
            <w:pPr>
              <w:spacing w:after="0"/>
              <w:rPr>
                <w:sz w:val="1"/>
                <w:szCs w:val="1"/>
                <w:color w:val="auto"/>
              </w:rPr>
            </w:pPr>
          </w:p>
        </w:tc>
      </w:tr>
      <w:tr>
        <w:trPr>
          <w:trHeight w:val="45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26</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Credit Agreement, dated as of October 16, 2023, by and between NCR Voyix Corporation, the foreign borrowers</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2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party thereto, the lenders and issuing banks party thereto and Bank of America, N.A., as administrative agent</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(Exhibit 10.8 to the October 17, 2023 8-K)</w:t>
            </w:r>
          </w:p>
        </w:tc>
        <w:tc>
          <w:tcPr>
            <w:tcW w:w="0" w:type="dxa"/>
            <w:vAlign w:val="bottom"/>
          </w:tcPr>
          <w:p>
            <w:pPr>
              <w:spacing w:after="0"/>
              <w:rPr>
                <w:sz w:val="1"/>
                <w:szCs w:val="1"/>
                <w:color w:val="auto"/>
              </w:rPr>
            </w:pPr>
          </w:p>
        </w:tc>
      </w:tr>
      <w:tr>
        <w:trPr>
          <w:trHeight w:val="45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27</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Seventh Amendment dated as of August 31, 2023, among NCR Corporation, the lenders party thereto, and</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920" w:type="dxa"/>
            <w:vAlign w:val="bottom"/>
          </w:tcPr>
          <w:p>
            <w:pPr>
              <w:ind w:left="600"/>
              <w:spacing w:after="0" w:line="223" w:lineRule="exact"/>
              <w:rPr>
                <w:sz w:val="20"/>
                <w:szCs w:val="20"/>
                <w:color w:val="auto"/>
              </w:rPr>
            </w:pPr>
            <w:r>
              <w:rPr>
                <w:rFonts w:ascii="Times New Roman" w:cs="Times New Roman" w:eastAsia="Times New Roman" w:hAnsi="Times New Roman"/>
                <w:sz w:val="20"/>
                <w:szCs w:val="20"/>
                <w:color w:val="auto"/>
              </w:rPr>
              <w:t>JPMorgan Chase Bank, N.A., as administrative agent (Exhibit 10.1 to the Company’s Current Report on Form 8-K</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filed on September 7, 2023)</w:t>
            </w:r>
          </w:p>
        </w:tc>
        <w:tc>
          <w:tcPr>
            <w:tcW w:w="0" w:type="dxa"/>
            <w:vAlign w:val="bottom"/>
          </w:tcPr>
          <w:p>
            <w:pPr>
              <w:spacing w:after="0"/>
              <w:rPr>
                <w:sz w:val="1"/>
                <w:szCs w:val="1"/>
                <w:color w:val="auto"/>
              </w:rPr>
            </w:pPr>
          </w:p>
        </w:tc>
      </w:tr>
      <w:tr>
        <w:trPr>
          <w:trHeight w:val="457"/>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28</w:t>
            </w: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Offer Letter Agreement, dated September 8, 2025, between James Wise and NCR Voyix Corporation (Exhibit 10.1</w:t>
            </w:r>
          </w:p>
        </w:tc>
        <w:tc>
          <w:tcPr>
            <w:tcW w:w="0" w:type="dxa"/>
            <w:vAlign w:val="bottom"/>
          </w:tcPr>
          <w:p>
            <w:pPr>
              <w:spacing w:after="0"/>
              <w:rPr>
                <w:sz w:val="1"/>
                <w:szCs w:val="1"/>
                <w:color w:val="auto"/>
              </w:rPr>
            </w:pPr>
          </w:p>
        </w:tc>
      </w:tr>
      <w:tr>
        <w:trPr>
          <w:trHeight w:val="240"/>
        </w:trPr>
        <w:tc>
          <w:tcPr>
            <w:tcW w:w="46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29</w:t>
            </w:r>
          </w:p>
        </w:tc>
        <w:tc>
          <w:tcPr>
            <w:tcW w:w="140" w:type="dxa"/>
            <w:vAlign w:val="bottom"/>
          </w:tcPr>
          <w:p>
            <w:pPr>
              <w:spacing w:after="0"/>
              <w:rPr>
                <w:sz w:val="20"/>
                <w:szCs w:val="20"/>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to the Company’s Quarterly Report on Form 10-Q for the quarter ended September 30, 2025).*</w:t>
            </w:r>
          </w:p>
        </w:tc>
        <w:tc>
          <w:tcPr>
            <w:tcW w:w="0" w:type="dxa"/>
            <w:vAlign w:val="bottom"/>
          </w:tcPr>
          <w:p>
            <w:pPr>
              <w:spacing w:after="0"/>
              <w:rPr>
                <w:sz w:val="1"/>
                <w:szCs w:val="1"/>
                <w:color w:val="auto"/>
              </w:rPr>
            </w:pPr>
          </w:p>
        </w:tc>
      </w:tr>
      <w:tr>
        <w:trPr>
          <w:trHeight w:val="435"/>
        </w:trPr>
        <w:tc>
          <w:tcPr>
            <w:tcW w:w="460" w:type="dxa"/>
            <w:vAlign w:val="bottom"/>
            <w:tcBorders>
              <w:bottom w:val="single" w:sz="8" w:color="0000FF"/>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Statement of Terms &amp; Conditions of Employment, executed on November 5, 2024, between Darren Wilson and</w:t>
            </w:r>
          </w:p>
        </w:tc>
        <w:tc>
          <w:tcPr>
            <w:tcW w:w="0" w:type="dxa"/>
            <w:vAlign w:val="bottom"/>
          </w:tcPr>
          <w:p>
            <w:pPr>
              <w:spacing w:after="0"/>
              <w:rPr>
                <w:sz w:val="1"/>
                <w:szCs w:val="1"/>
                <w:color w:val="auto"/>
              </w:rPr>
            </w:pPr>
          </w:p>
        </w:tc>
      </w:tr>
      <w:tr>
        <w:trPr>
          <w:trHeight w:val="240"/>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29.1</w:t>
            </w: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NCR Voyix Corporation*†</w:t>
            </w:r>
          </w:p>
        </w:tc>
        <w:tc>
          <w:tcPr>
            <w:tcW w:w="0" w:type="dxa"/>
            <w:vAlign w:val="bottom"/>
          </w:tcPr>
          <w:p>
            <w:pPr>
              <w:spacing w:after="0"/>
              <w:rPr>
                <w:sz w:val="1"/>
                <w:szCs w:val="1"/>
                <w:color w:val="auto"/>
              </w:rPr>
            </w:pPr>
          </w:p>
        </w:tc>
      </w:tr>
      <w:tr>
        <w:trPr>
          <w:trHeight w:val="435"/>
        </w:trPr>
        <w:tc>
          <w:tcPr>
            <w:tcW w:w="600" w:type="dxa"/>
            <w:vAlign w:val="bottom"/>
            <w:tcBorders>
              <w:bottom w:val="single" w:sz="8" w:color="0000FF"/>
            </w:tcBorders>
            <w:gridSpan w:val="2"/>
            <w:vMerge w:val="continue"/>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Amendment to Employment Contract, dated February 9, 2025, between Darren Wilson and NCR Voyix</w:t>
            </w:r>
          </w:p>
        </w:tc>
        <w:tc>
          <w:tcPr>
            <w:tcW w:w="0" w:type="dxa"/>
            <w:vAlign w:val="bottom"/>
          </w:tcPr>
          <w:p>
            <w:pPr>
              <w:spacing w:after="0"/>
              <w:rPr>
                <w:sz w:val="1"/>
                <w:szCs w:val="1"/>
                <w:color w:val="auto"/>
              </w:rPr>
            </w:pPr>
          </w:p>
        </w:tc>
      </w:tr>
      <w:tr>
        <w:trPr>
          <w:trHeight w:val="240"/>
        </w:trPr>
        <w:tc>
          <w:tcPr>
            <w:tcW w:w="46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30</w:t>
            </w:r>
          </w:p>
        </w:tc>
        <w:tc>
          <w:tcPr>
            <w:tcW w:w="140" w:type="dxa"/>
            <w:vAlign w:val="bottom"/>
          </w:tcPr>
          <w:p>
            <w:pPr>
              <w:spacing w:after="0"/>
              <w:rPr>
                <w:sz w:val="20"/>
                <w:szCs w:val="20"/>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Corporation*†</w:t>
            </w:r>
          </w:p>
        </w:tc>
        <w:tc>
          <w:tcPr>
            <w:tcW w:w="0" w:type="dxa"/>
            <w:vAlign w:val="bottom"/>
          </w:tcPr>
          <w:p>
            <w:pPr>
              <w:spacing w:after="0"/>
              <w:rPr>
                <w:sz w:val="1"/>
                <w:szCs w:val="1"/>
                <w:color w:val="auto"/>
              </w:rPr>
            </w:pPr>
          </w:p>
        </w:tc>
      </w:tr>
      <w:tr>
        <w:trPr>
          <w:trHeight w:val="435"/>
        </w:trPr>
        <w:tc>
          <w:tcPr>
            <w:tcW w:w="460" w:type="dxa"/>
            <w:vAlign w:val="bottom"/>
            <w:tcBorders>
              <w:bottom w:val="single" w:sz="8" w:color="0000FF"/>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99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Offer Letter Agreement, dated December 8, 2023, between Beimnet Tadele and NCR Voyix Corporation*†</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200" w:hanging="1197"/>
        <w:spacing w:after="0"/>
        <w:tabs>
          <w:tab w:leader="none" w:pos="1200" w:val="left"/>
        </w:tabs>
        <w:numPr>
          <w:ilvl w:val="0"/>
          <w:numId w:val="7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NCR Voyix Corporation Insider Trading Policy.</w:t>
      </w:r>
      <w:r>
        <w:rPr>
          <w:rFonts w:ascii="Times New Roman" w:cs="Times New Roman" w:eastAsia="Times New Roman" w:hAnsi="Times New Roman"/>
          <w:sz w:val="18"/>
          <w:szCs w:val="18"/>
          <w:color w:val="auto"/>
        </w:rPr>
        <w:t>†</w:t>
      </w:r>
    </w:p>
    <w:p>
      <w:pPr>
        <w:sectPr>
          <w:pgSz w:w="12240" w:h="15840" w:orient="portrait"/>
          <w:cols w:equalWidth="0" w:num="1">
            <w:col w:w="10520"/>
          </w:cols>
          <w:pgMar w:left="860" w:top="22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520"/>
          </w:cols>
          <w:pgMar w:left="860" w:top="220" w:right="860" w:bottom="0" w:gutter="0" w:footer="0" w:header="0"/>
          <w:type w:val="continuous"/>
        </w:sectPr>
      </w:pPr>
    </w:p>
    <w:bookmarkStart w:id="125" w:name="page126"/>
    <w:bookmarkEnd w:id="125"/>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40" w:hanging="1197"/>
        <w:spacing w:after="0"/>
        <w:tabs>
          <w:tab w:leader="none" w:pos="1240" w:val="left"/>
        </w:tabs>
        <w:numPr>
          <w:ilvl w:val="0"/>
          <w:numId w:val="7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Subsidiaries of the Registrant.</w:t>
      </w:r>
      <w:r>
        <w:rPr>
          <w:rFonts w:ascii="Times New Roman" w:cs="Times New Roman" w:eastAsia="Times New Roman" w:hAnsi="Times New Roman"/>
          <w:sz w:val="18"/>
          <w:szCs w:val="18"/>
          <w:color w:val="auto"/>
        </w:rPr>
        <w:t>†</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6"/>
              </w:rPr>
              <w:t>23.</w:t>
            </w:r>
            <w:r>
              <w:rPr>
                <w:rFonts w:ascii="Times New Roman" w:cs="Times New Roman" w:eastAsia="Times New Roman" w:hAnsi="Times New Roman"/>
                <w:sz w:val="20"/>
                <w:szCs w:val="20"/>
                <w:u w:val="single" w:color="auto"/>
                <w:color w:val="0000FF"/>
                <w:w w:val="96"/>
              </w:rPr>
              <w:t>1</w:t>
            </w:r>
          </w:p>
        </w:tc>
        <w:tc>
          <w:tcPr>
            <w:tcW w:w="898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r>
              <w:rPr>
                <w:rFonts w:ascii="Times New Roman" w:cs="Times New Roman" w:eastAsia="Times New Roman" w:hAnsi="Times New Roman"/>
                <w:sz w:val="18"/>
                <w:szCs w:val="18"/>
                <w:color w:val="auto"/>
              </w:rPr>
              <w:t>†</w:t>
            </w:r>
          </w:p>
        </w:tc>
      </w:tr>
      <w:tr>
        <w:trPr>
          <w:trHeight w:val="475"/>
        </w:trPr>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6"/>
              </w:rPr>
              <w:t>31.</w:t>
            </w:r>
            <w:r>
              <w:rPr>
                <w:rFonts w:ascii="Times New Roman" w:cs="Times New Roman" w:eastAsia="Times New Roman" w:hAnsi="Times New Roman"/>
                <w:sz w:val="20"/>
                <w:szCs w:val="20"/>
                <w:u w:val="single" w:color="auto"/>
                <w:color w:val="0000FF"/>
                <w:w w:val="96"/>
              </w:rPr>
              <w:t>1</w:t>
            </w:r>
          </w:p>
        </w:tc>
        <w:tc>
          <w:tcPr>
            <w:tcW w:w="8980" w:type="dxa"/>
            <w:vAlign w:val="bottom"/>
          </w:tcPr>
          <w:p>
            <w:pPr>
              <w:ind w:left="840"/>
              <w:spacing w:after="0"/>
              <w:rPr>
                <w:sz w:val="20"/>
                <w:szCs w:val="20"/>
                <w:color w:val="auto"/>
              </w:rPr>
            </w:pPr>
            <w:r>
              <w:rPr>
                <w:rFonts w:ascii="Times New Roman" w:cs="Times New Roman" w:eastAsia="Times New Roman" w:hAnsi="Times New Roman"/>
                <w:sz w:val="20"/>
                <w:szCs w:val="20"/>
                <w:color w:val="auto"/>
                <w:w w:val="99"/>
              </w:rPr>
              <w:t>Certification pursuant to Rule 13a-14(a) and Rule 15d-14(a) of the Securities Exchange Act of 1934.</w:t>
            </w:r>
            <w:r>
              <w:rPr>
                <w:rFonts w:ascii="Times New Roman" w:cs="Times New Roman" w:eastAsia="Times New Roman" w:hAnsi="Times New Roman"/>
                <w:sz w:val="18"/>
                <w:szCs w:val="18"/>
                <w:color w:val="auto"/>
                <w:w w:val="99"/>
              </w:rPr>
              <w:t>†</w:t>
            </w:r>
          </w:p>
        </w:tc>
      </w:tr>
      <w:tr>
        <w:trPr>
          <w:trHeight w:val="475"/>
        </w:trPr>
        <w:tc>
          <w:tcPr>
            <w:tcW w:w="3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6"/>
              </w:rPr>
              <w:t>31.</w:t>
            </w:r>
            <w:r>
              <w:rPr>
                <w:rFonts w:ascii="Times New Roman" w:cs="Times New Roman" w:eastAsia="Times New Roman" w:hAnsi="Times New Roman"/>
                <w:sz w:val="20"/>
                <w:szCs w:val="20"/>
                <w:u w:val="single" w:color="auto"/>
                <w:color w:val="0000FF"/>
                <w:w w:val="96"/>
              </w:rPr>
              <w:t>2</w:t>
            </w:r>
          </w:p>
        </w:tc>
        <w:tc>
          <w:tcPr>
            <w:tcW w:w="8980" w:type="dxa"/>
            <w:vAlign w:val="bottom"/>
          </w:tcPr>
          <w:p>
            <w:pPr>
              <w:ind w:left="840"/>
              <w:spacing w:after="0"/>
              <w:rPr>
                <w:sz w:val="20"/>
                <w:szCs w:val="20"/>
                <w:color w:val="auto"/>
              </w:rPr>
            </w:pPr>
            <w:r>
              <w:rPr>
                <w:rFonts w:ascii="Times New Roman" w:cs="Times New Roman" w:eastAsia="Times New Roman" w:hAnsi="Times New Roman"/>
                <w:sz w:val="20"/>
                <w:szCs w:val="20"/>
                <w:color w:val="auto"/>
                <w:w w:val="99"/>
              </w:rPr>
              <w:t>Certification pursuant to Rule 13a-14(a) and Rule 15d-14(a) of the Securities Exchange Act of 1934.</w:t>
            </w:r>
            <w:r>
              <w:rPr>
                <w:rFonts w:ascii="Times New Roman" w:cs="Times New Roman" w:eastAsia="Times New Roman" w:hAnsi="Times New Roman"/>
                <w:sz w:val="18"/>
                <w:szCs w:val="18"/>
                <w:color w:val="auto"/>
                <w:w w:val="99"/>
              </w:rPr>
              <w:t>†</w:t>
            </w:r>
          </w:p>
        </w:tc>
      </w:tr>
    </w:tbl>
    <w:p>
      <w:pPr>
        <w:spacing w:after="0" w:line="268" w:lineRule="exact"/>
        <w:rPr>
          <w:sz w:val="20"/>
          <w:szCs w:val="20"/>
          <w:color w:val="auto"/>
        </w:rPr>
      </w:pPr>
    </w:p>
    <w:p>
      <w:pPr>
        <w:ind w:left="1240" w:hanging="1197"/>
        <w:spacing w:after="0" w:line="271" w:lineRule="auto"/>
        <w:tabs>
          <w:tab w:leader="none" w:pos="1240" w:val="left"/>
        </w:tabs>
        <w:numPr>
          <w:ilvl w:val="0"/>
          <w:numId w:val="7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Certification pursuant to 18 U.S.C. Section 1350 as adopted pursuant to Section 906 of the Sarbanes-Oxley Act of 2002.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40" w:hanging="1197"/>
        <w:spacing w:after="0"/>
        <w:tabs>
          <w:tab w:leader="none" w:pos="1240" w:val="left"/>
        </w:tabs>
        <w:numPr>
          <w:ilvl w:val="0"/>
          <w:numId w:val="7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NCR Voyix Corporation Clawback Policy (Exhibit 97 to the 2023 Form 10-K).</w:t>
      </w:r>
    </w:p>
    <w:p>
      <w:pPr>
        <w:spacing w:after="0" w:line="265" w:lineRule="exact"/>
        <w:rPr>
          <w:sz w:val="20"/>
          <w:szCs w:val="20"/>
          <w:color w:val="auto"/>
        </w:rPr>
      </w:pPr>
    </w:p>
    <w:p>
      <w:pPr>
        <w:jc w:val="both"/>
        <w:ind w:left="1240" w:hanging="1197"/>
        <w:spacing w:after="0" w:line="245" w:lineRule="auto"/>
        <w:tabs>
          <w:tab w:leader="none" w:pos="12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materials from NCR Voyix Corporation’s Annual Report on Form 10-K for the year ended December 31, 2025, formatted in iXBRL (Inline Extensible Business Reporting Language): (i) consolidated statements of operations for the fiscal years ended December 31, 2025, 2024 and 2023; (ii) consolidated statements of comprehensive income for the fiscal years ended December 31, 2025, 2024 and 2023; (iii) consolidated balance sheets as of December 31, 2025 and 2024; (iv) consolidated statements of cash flows for the fiscal years ended December 31, 2025, 2024 and 2023; (v) consolidated statements of changes in stockholders’ equity for fiscal years ended December 31, 2025, 2024 and 2023; and (vi) the notes to the consolidated financial statements.</w:t>
      </w:r>
      <w:r>
        <w:rPr>
          <w:rFonts w:ascii="Times New Roman" w:cs="Times New Roman" w:eastAsia="Times New Roman" w:hAnsi="Times New Roman"/>
          <w:sz w:val="18"/>
          <w:szCs w:val="18"/>
          <w:color w:val="auto"/>
        </w:rPr>
        <w:t>†</w:t>
      </w:r>
    </w:p>
    <w:p>
      <w:pPr>
        <w:spacing w:after="0" w:line="232" w:lineRule="exact"/>
        <w:rPr>
          <w:sz w:val="20"/>
          <w:szCs w:val="20"/>
          <w:color w:val="auto"/>
        </w:rPr>
      </w:pPr>
    </w:p>
    <w:p>
      <w:pPr>
        <w:ind w:right="2040" w:firstLine="43"/>
        <w:spacing w:after="0" w:line="305" w:lineRule="auto"/>
        <w:tabs>
          <w:tab w:leader="none" w:pos="1253"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in inline XBRL and contained in Exhibit 101.</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 Management contracts or compensatory plans/arrangements.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1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560"/>
          </w:cols>
          <w:pgMar w:left="820" w:top="22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560"/>
          </w:cols>
          <w:pgMar w:left="820" w:top="220" w:right="860" w:bottom="0" w:gutter="0" w:footer="0" w:header="0"/>
          <w:type w:val="continuous"/>
        </w:sectPr>
      </w:pPr>
    </w:p>
    <w:bookmarkStart w:id="126" w:name="page127"/>
    <w:bookmarkEnd w:id="126"/>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NCR Voyix Corporation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II--VALUATION AND QUALIFYING ACCOUNTS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B</w:t>
            </w:r>
          </w:p>
        </w:tc>
        <w:tc>
          <w:tcPr>
            <w:tcW w:w="80" w:type="dxa"/>
            <w:vAlign w:val="bottom"/>
          </w:tcPr>
          <w:p>
            <w:pPr>
              <w:spacing w:after="0"/>
              <w:rPr>
                <w:sz w:val="18"/>
                <w:szCs w:val="18"/>
                <w:color w:val="auto"/>
              </w:rPr>
            </w:pPr>
          </w:p>
        </w:tc>
        <w:tc>
          <w:tcPr>
            <w:tcW w:w="22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Column C</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D</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Column E</w:t>
            </w:r>
          </w:p>
        </w:tc>
        <w:tc>
          <w:tcPr>
            <w:tcW w:w="0" w:type="dxa"/>
            <w:vAlign w:val="bottom"/>
          </w:tcPr>
          <w:p>
            <w:pPr>
              <w:spacing w:after="0"/>
              <w:rPr>
                <w:sz w:val="1"/>
                <w:szCs w:val="1"/>
                <w:color w:val="auto"/>
              </w:rPr>
            </w:pPr>
          </w:p>
        </w:tc>
      </w:tr>
      <w:tr>
        <w:trPr>
          <w:trHeight w:val="280"/>
        </w:trPr>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Charged to</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9"/>
              </w:rPr>
              <w:t>Beginning of</w:t>
            </w:r>
          </w:p>
        </w:tc>
        <w:tc>
          <w:tcPr>
            <w:tcW w:w="8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8"/>
              </w:rPr>
              <w:t>Costs &amp;</w:t>
            </w:r>
          </w:p>
        </w:tc>
        <w:tc>
          <w:tcPr>
            <w:tcW w:w="6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Deductions</w:t>
            </w: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4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Period</w:t>
            </w:r>
          </w:p>
        </w:tc>
        <w:tc>
          <w:tcPr>
            <w:tcW w:w="80" w:type="dxa"/>
            <w:vAlign w:val="bottom"/>
          </w:tcPr>
          <w:p>
            <w:pPr>
              <w:spacing w:after="0"/>
              <w:rPr>
                <w:sz w:val="15"/>
                <w:szCs w:val="15"/>
                <w:color w:val="auto"/>
              </w:rPr>
            </w:pPr>
          </w:p>
        </w:tc>
        <w:tc>
          <w:tcPr>
            <w:tcW w:w="10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Expenses</w:t>
            </w:r>
          </w:p>
        </w:tc>
        <w:tc>
          <w:tcPr>
            <w:tcW w:w="60" w:type="dxa"/>
            <w:vAlign w:val="bottom"/>
          </w:tcPr>
          <w:p>
            <w:pPr>
              <w:spacing w:after="0"/>
              <w:rPr>
                <w:sz w:val="15"/>
                <w:szCs w:val="15"/>
                <w:color w:val="auto"/>
              </w:rPr>
            </w:pPr>
          </w:p>
        </w:tc>
        <w:tc>
          <w:tcPr>
            <w:tcW w:w="10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Accounts</w:t>
            </w:r>
          </w:p>
        </w:tc>
        <w:tc>
          <w:tcPr>
            <w:tcW w:w="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 w:type="dxa"/>
            <w:vAlign w:val="bottom"/>
          </w:tcPr>
          <w:p>
            <w:pPr>
              <w:spacing w:after="0" w:line="20" w:lineRule="exact"/>
              <w:rPr>
                <w:sz w:val="1"/>
                <w:szCs w:val="1"/>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Year Ended December 31, 2025</w:t>
            </w: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60" w:type="dxa"/>
            <w:vAlign w:val="bottom"/>
          </w:tcPr>
          <w:p>
            <w:pPr>
              <w:spacing w:after="0"/>
              <w:rPr>
                <w:sz w:val="22"/>
                <w:szCs w:val="22"/>
                <w:color w:val="auto"/>
              </w:rPr>
            </w:pPr>
          </w:p>
        </w:tc>
        <w:tc>
          <w:tcPr>
            <w:tcW w:w="47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4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$26</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$15</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$21</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4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Deferred tax asset valuation allowance</w:t>
            </w:r>
          </w:p>
        </w:tc>
        <w:tc>
          <w:tcPr>
            <w:tcW w:w="11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$153</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$8</w:t>
            </w:r>
          </w:p>
        </w:tc>
        <w:tc>
          <w:tcPr>
            <w:tcW w:w="11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$1</w:t>
            </w:r>
          </w:p>
        </w:tc>
        <w:tc>
          <w:tcPr>
            <w:tcW w:w="11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$181</w:t>
            </w:r>
          </w:p>
        </w:tc>
        <w:tc>
          <w:tcPr>
            <w:tcW w:w="0" w:type="dxa"/>
            <w:vAlign w:val="bottom"/>
          </w:tcPr>
          <w:p>
            <w:pPr>
              <w:spacing w:after="0"/>
              <w:rPr>
                <w:sz w:val="1"/>
                <w:szCs w:val="1"/>
                <w:color w:val="auto"/>
              </w:rPr>
            </w:pPr>
          </w:p>
        </w:tc>
      </w:tr>
      <w:tr>
        <w:trPr>
          <w:trHeight w:val="570"/>
        </w:trPr>
        <w:tc>
          <w:tcPr>
            <w:tcW w:w="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Year Ended December 31, 2024</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4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$15</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$18</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$26</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4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Deferred tax asset valuation allowance</w:t>
            </w:r>
          </w:p>
        </w:tc>
        <w:tc>
          <w:tcPr>
            <w:tcW w:w="11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$211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$87</w:t>
            </w:r>
          </w:p>
        </w:tc>
        <w:tc>
          <w:tcPr>
            <w:tcW w:w="11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$153</w:t>
            </w:r>
          </w:p>
        </w:tc>
        <w:tc>
          <w:tcPr>
            <w:tcW w:w="0" w:type="dxa"/>
            <w:vAlign w:val="bottom"/>
          </w:tcPr>
          <w:p>
            <w:pPr>
              <w:spacing w:after="0"/>
              <w:rPr>
                <w:sz w:val="1"/>
                <w:szCs w:val="1"/>
                <w:color w:val="auto"/>
              </w:rPr>
            </w:pPr>
          </w:p>
        </w:tc>
      </w:tr>
      <w:tr>
        <w:trPr>
          <w:trHeight w:val="570"/>
        </w:trPr>
        <w:tc>
          <w:tcPr>
            <w:tcW w:w="60" w:type="dxa"/>
            <w:vAlign w:val="bottom"/>
          </w:tcPr>
          <w:p>
            <w:pPr>
              <w:spacing w:after="0"/>
              <w:rPr>
                <w:sz w:val="24"/>
                <w:szCs w:val="24"/>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Year Ended December 31, 2023</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4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$18</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$26</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$15</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c>
          <w:tcPr>
            <w:tcW w:w="0" w:type="dxa"/>
            <w:vAlign w:val="bottom"/>
          </w:tcPr>
          <w:p>
            <w:pPr>
              <w:spacing w:after="0"/>
              <w:rPr>
                <w:sz w:val="1"/>
                <w:szCs w:val="1"/>
                <w:color w:val="auto"/>
              </w:rPr>
            </w:pPr>
          </w:p>
        </w:tc>
      </w:tr>
      <w:tr>
        <w:trPr>
          <w:trHeight w:val="285"/>
        </w:trPr>
        <w:tc>
          <w:tcPr>
            <w:tcW w:w="60" w:type="dxa"/>
            <w:vAlign w:val="bottom"/>
          </w:tcPr>
          <w:p>
            <w:pPr>
              <w:spacing w:after="0"/>
              <w:rPr>
                <w:sz w:val="24"/>
                <w:szCs w:val="24"/>
                <w:color w:val="auto"/>
              </w:rPr>
            </w:pPr>
          </w:p>
        </w:tc>
        <w:tc>
          <w:tcPr>
            <w:tcW w:w="47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Deferred tax asset valuation allowance</w:t>
            </w:r>
          </w:p>
        </w:tc>
        <w:tc>
          <w:tcPr>
            <w:tcW w:w="11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$274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$25</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$93</w:t>
            </w:r>
          </w:p>
        </w:tc>
        <w:tc>
          <w:tcPr>
            <w:tcW w:w="11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9"/>
              </w:rPr>
              <w:t>$211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-1994535</wp:posOffset>
            </wp:positionV>
            <wp:extent cx="6750050" cy="2082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6">
                      <a:extLst>
                        <a:ext uri="{28A0092B-C50C-407E-A947-70E740481C1C}"/>
                      </a:extLst>
                    </a:blip>
                    <a:srcRect/>
                    <a:stretch>
                      <a:fillRect/>
                    </a:stretch>
                  </pic:blipFill>
                  <pic:spPr bwMode="auto">
                    <a:xfrm>
                      <a:off x="0" y="0"/>
                      <a:ext cx="6750050" cy="2082800"/>
                    </a:xfrm>
                    <a:prstGeom prst="rect">
                      <a:avLst/>
                    </a:prstGeom>
                    <a:noFill/>
                  </pic:spPr>
                </pic:pic>
              </a:graphicData>
            </a:graphic>
          </wp:anchor>
        </w:drawing>
      </w:r>
    </w:p>
    <w:p>
      <w:pPr>
        <w:sectPr>
          <w:pgSz w:w="12240" w:h="15840" w:orient="portrait"/>
          <w:cols w:equalWidth="0" w:num="1">
            <w:col w:w="10600"/>
          </w:cols>
          <w:pgMar w:left="820" w:top="2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600"/>
          </w:cols>
          <w:pgMar w:left="820" w:top="220" w:right="820" w:bottom="0" w:gutter="0" w:footer="0" w:header="0"/>
          <w:type w:val="continuous"/>
        </w:sectPr>
      </w:pPr>
    </w:p>
    <w:bookmarkStart w:id="127" w:name="page128"/>
    <w:bookmarkEnd w:id="127"/>
    <w:p>
      <w:pPr>
        <w:ind w:left="1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 (d)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NCR CORPORATION</w:t>
      </w:r>
    </w:p>
    <w:p>
      <w:pPr>
        <w:spacing w:after="0" w:line="355" w:lineRule="exact"/>
        <w:rPr>
          <w:sz w:val="20"/>
          <w:szCs w:val="20"/>
          <w:color w:val="auto"/>
        </w:rPr>
      </w:pPr>
    </w:p>
    <w:p>
      <w:pPr>
        <w:ind w:left="100"/>
        <w:spacing w:after="0"/>
        <w:tabs>
          <w:tab w:leader="none" w:pos="5020" w:val="left"/>
          <w:tab w:leader="none" w:pos="7120" w:val="left"/>
        </w:tabs>
        <w:rPr>
          <w:sz w:val="20"/>
          <w:szCs w:val="20"/>
          <w:color w:val="auto"/>
        </w:rPr>
      </w:pPr>
      <w:r>
        <w:rPr>
          <w:rFonts w:ascii="Times New Roman" w:cs="Times New Roman" w:eastAsia="Times New Roman" w:hAnsi="Times New Roman"/>
          <w:sz w:val="20"/>
          <w:szCs w:val="20"/>
          <w:color w:val="auto"/>
        </w:rPr>
        <w:t>Date: February 26,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Brian Webb-Walsh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3422650</wp:posOffset>
                </wp:positionH>
                <wp:positionV relativeFrom="paragraph">
                  <wp:posOffset>35560</wp:posOffset>
                </wp:positionV>
                <wp:extent cx="307657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76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5pt,2.8pt" to="511.75pt,2.8pt" o:allowincell="f" strokecolor="#000000" strokeweight="1pt"/>
            </w:pict>
          </mc:Fallback>
        </mc:AlternateContent>
      </w:r>
    </w:p>
    <w:p>
      <w:pPr>
        <w:spacing w:after="0" w:line="5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6"/>
          <w:szCs w:val="16"/>
          <w:b w:val="1"/>
          <w:bCs w:val="1"/>
          <w:color w:val="auto"/>
        </w:rPr>
        <w:t>Brian Webb-Walsh</w:t>
      </w:r>
    </w:p>
    <w:p>
      <w:pPr>
        <w:jc w:val="center"/>
        <w:ind w:left="5240"/>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30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 indicated.</w:t>
      </w:r>
    </w:p>
    <w:p>
      <w:pPr>
        <w:sectPr>
          <w:pgSz w:w="12240" w:h="15840" w:orient="portrait"/>
          <w:cols w:equalWidth="0" w:num="1">
            <w:col w:w="10600"/>
          </w:cols>
          <w:pgMar w:left="820" w:top="22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600"/>
          </w:cols>
          <w:pgMar w:left="820" w:top="220" w:right="82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920" w:type="dxa"/>
        <w:tblCellMar>
          <w:top w:w="0" w:type="dxa"/>
          <w:left w:w="0" w:type="dxa"/>
          <w:bottom w:w="0" w:type="dxa"/>
          <w:right w:w="0" w:type="dxa"/>
        </w:tblCellMar>
      </w:tblPr>
      <w:tr>
        <w:trPr>
          <w:trHeight w:val="264"/>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60" w:type="dxa"/>
            <w:vAlign w:val="bottom"/>
          </w:tcPr>
          <w:p>
            <w:pPr>
              <w:jc w:val="center"/>
              <w:ind w:right="1160"/>
              <w:spacing w:after="0"/>
              <w:rPr>
                <w:sz w:val="20"/>
                <w:szCs w:val="20"/>
                <w:color w:val="auto"/>
              </w:rPr>
            </w:pPr>
            <w:r>
              <w:rPr>
                <w:rFonts w:ascii="Times New Roman" w:cs="Times New Roman" w:eastAsia="Times New Roman" w:hAnsi="Times New Roman"/>
                <w:sz w:val="20"/>
                <w:szCs w:val="20"/>
                <w:b w:val="1"/>
                <w:bCs w:val="1"/>
                <w:color w:val="auto"/>
                <w:w w:val="98"/>
              </w:rPr>
              <w:t>Signature</w:t>
            </w:r>
          </w:p>
        </w:tc>
        <w:tc>
          <w:tcPr>
            <w:tcW w:w="4320" w:type="dxa"/>
            <w:vAlign w:val="bottom"/>
          </w:tcPr>
          <w:p>
            <w:pPr>
              <w:ind w:left="2040"/>
              <w:spacing w:after="0"/>
              <w:rPr>
                <w:sz w:val="20"/>
                <w:szCs w:val="20"/>
                <w:color w:val="auto"/>
              </w:rPr>
            </w:pPr>
            <w:r>
              <w:rPr>
                <w:rFonts w:ascii="Times New Roman" w:cs="Times New Roman" w:eastAsia="Times New Roman" w:hAnsi="Times New Roman"/>
                <w:sz w:val="20"/>
                <w:szCs w:val="20"/>
                <w:b w:val="1"/>
                <w:bCs w:val="1"/>
                <w:color w:val="auto"/>
              </w:rPr>
              <w:t>Title</w:t>
            </w:r>
          </w:p>
        </w:tc>
      </w:tr>
      <w:tr>
        <w:trPr>
          <w:trHeight w:val="573"/>
        </w:trPr>
        <w:tc>
          <w:tcPr>
            <w:tcW w:w="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t>
            </w:r>
          </w:p>
        </w:tc>
        <w:tc>
          <w:tcPr>
            <w:tcW w:w="2160" w:type="dxa"/>
            <w:vAlign w:val="bottom"/>
            <w:tcBorders>
              <w:bottom w:val="single" w:sz="8" w:color="auto"/>
            </w:tcBorders>
          </w:tcPr>
          <w:p>
            <w:pPr>
              <w:jc w:val="center"/>
              <w:ind w:right="760"/>
              <w:spacing w:after="0"/>
              <w:rPr>
                <w:sz w:val="20"/>
                <w:szCs w:val="20"/>
                <w:color w:val="auto"/>
              </w:rPr>
            </w:pPr>
            <w:r>
              <w:rPr>
                <w:rFonts w:ascii="Times New Roman" w:cs="Times New Roman" w:eastAsia="Times New Roman" w:hAnsi="Times New Roman"/>
                <w:sz w:val="20"/>
                <w:szCs w:val="20"/>
                <w:color w:val="auto"/>
                <w:w w:val="99"/>
              </w:rPr>
              <w:t>James Kelly</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Executive Officer and Director</w:t>
            </w:r>
          </w:p>
        </w:tc>
      </w:tr>
      <w:tr>
        <w:trPr>
          <w:trHeight w:val="264"/>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b w:val="1"/>
                <w:bCs w:val="1"/>
                <w:color w:val="auto"/>
                <w:w w:val="98"/>
              </w:rPr>
              <w:t>James Kelly</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586"/>
        </w:trPr>
        <w:tc>
          <w:tcPr>
            <w:tcW w:w="540" w:type="dxa"/>
            <w:vAlign w:val="bottom"/>
          </w:tcPr>
          <w:p>
            <w:pPr>
              <w:spacing w:after="0"/>
              <w:rPr>
                <w:sz w:val="24"/>
                <w:szCs w:val="24"/>
                <w:color w:val="auto"/>
              </w:rPr>
            </w:pPr>
          </w:p>
        </w:tc>
        <w:tc>
          <w:tcPr>
            <w:tcW w:w="9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0"/>
                <w:szCs w:val="20"/>
                <w:color w:val="auto"/>
              </w:rPr>
              <w:t>/s/</w:t>
            </w:r>
          </w:p>
        </w:tc>
        <w:tc>
          <w:tcPr>
            <w:tcW w:w="24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9"/>
              </w:rPr>
              <w:t>Brian Webb-Walsh</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Executive Vice President and Chief Financial Officer</w:t>
            </w:r>
          </w:p>
        </w:tc>
      </w:tr>
      <w:tr>
        <w:trPr>
          <w:trHeight w:val="264"/>
        </w:trPr>
        <w:tc>
          <w:tcPr>
            <w:tcW w:w="540" w:type="dxa"/>
            <w:vAlign w:val="bottom"/>
          </w:tcPr>
          <w:p>
            <w:pPr>
              <w:spacing w:after="0"/>
              <w:rPr>
                <w:sz w:val="22"/>
                <w:szCs w:val="22"/>
                <w:color w:val="auto"/>
              </w:rPr>
            </w:pP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Brian Webb-Walsh</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Financial Officer)</w:t>
            </w:r>
          </w:p>
        </w:tc>
      </w:tr>
      <w:tr>
        <w:trPr>
          <w:trHeight w:val="586"/>
        </w:trPr>
        <w:tc>
          <w:tcPr>
            <w:tcW w:w="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w w:val="94"/>
              </w:rPr>
              <w:t>/s/</w:t>
            </w:r>
          </w:p>
        </w:tc>
        <w:tc>
          <w:tcPr>
            <w:tcW w:w="2160" w:type="dxa"/>
            <w:vAlign w:val="bottom"/>
            <w:tcBorders>
              <w:bottom w:val="single" w:sz="8" w:color="auto"/>
            </w:tcBorders>
          </w:tcPr>
          <w:p>
            <w:pPr>
              <w:jc w:val="center"/>
              <w:ind w:right="820"/>
              <w:spacing w:after="0"/>
              <w:rPr>
                <w:sz w:val="20"/>
                <w:szCs w:val="20"/>
                <w:color w:val="auto"/>
              </w:rPr>
            </w:pPr>
            <w:r>
              <w:rPr>
                <w:rFonts w:ascii="Times New Roman" w:cs="Times New Roman" w:eastAsia="Times New Roman" w:hAnsi="Times New Roman"/>
                <w:sz w:val="20"/>
                <w:szCs w:val="20"/>
                <w:color w:val="auto"/>
              </w:rPr>
              <w:t>James Wise</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Chief Accounting Officer</w:t>
            </w:r>
          </w:p>
        </w:tc>
      </w:tr>
      <w:tr>
        <w:trPr>
          <w:trHeight w:val="264"/>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James Wise</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(Principal Accounting Officer)</w:t>
            </w:r>
          </w:p>
        </w:tc>
      </w:tr>
      <w:tr>
        <w:trPr>
          <w:trHeight w:val="571"/>
        </w:trPr>
        <w:tc>
          <w:tcPr>
            <w:tcW w:w="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20"/>
                <w:szCs w:val="20"/>
                <w:color w:val="auto"/>
                <w:w w:val="99"/>
              </w:rPr>
              <w:t>/s/ Kevin Reddy</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Independent Chair of the Board</w:t>
            </w:r>
          </w:p>
        </w:tc>
      </w:tr>
      <w:tr>
        <w:trPr>
          <w:trHeight w:val="264"/>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b w:val="1"/>
                <w:bCs w:val="1"/>
                <w:color w:val="auto"/>
                <w:w w:val="98"/>
              </w:rPr>
              <w:t>Kevin Reddy</w:t>
            </w:r>
          </w:p>
        </w:tc>
        <w:tc>
          <w:tcPr>
            <w:tcW w:w="4320" w:type="dxa"/>
            <w:vAlign w:val="bottom"/>
          </w:tcPr>
          <w:p>
            <w:pPr>
              <w:spacing w:after="0"/>
              <w:rPr>
                <w:sz w:val="22"/>
                <w:szCs w:val="22"/>
                <w:color w:val="auto"/>
              </w:rPr>
            </w:pPr>
          </w:p>
        </w:tc>
      </w:tr>
      <w:tr>
        <w:trPr>
          <w:trHeight w:val="586"/>
        </w:trPr>
        <w:tc>
          <w:tcPr>
            <w:tcW w:w="540" w:type="dxa"/>
            <w:vAlign w:val="bottom"/>
          </w:tcPr>
          <w:p>
            <w:pPr>
              <w:spacing w:after="0"/>
              <w:rPr>
                <w:sz w:val="24"/>
                <w:szCs w:val="24"/>
                <w:color w:val="auto"/>
              </w:rPr>
            </w:pPr>
          </w:p>
        </w:tc>
        <w:tc>
          <w:tcPr>
            <w:tcW w:w="9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color w:val="auto"/>
                <w:w w:val="84"/>
              </w:rPr>
              <w:t>/s/</w:t>
            </w:r>
          </w:p>
        </w:tc>
        <w:tc>
          <w:tcPr>
            <w:tcW w:w="24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20"/>
                <w:szCs w:val="20"/>
                <w:color w:val="auto"/>
                <w:w w:val="98"/>
              </w:rPr>
              <w:t>Catherine L. Burke</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64"/>
        </w:trPr>
        <w:tc>
          <w:tcPr>
            <w:tcW w:w="540" w:type="dxa"/>
            <w:vAlign w:val="bottom"/>
          </w:tcPr>
          <w:p>
            <w:pPr>
              <w:spacing w:after="0"/>
              <w:rPr>
                <w:sz w:val="22"/>
                <w:szCs w:val="22"/>
                <w:color w:val="auto"/>
              </w:rPr>
            </w:pP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Catherine L. Burke</w:t>
            </w:r>
          </w:p>
        </w:tc>
        <w:tc>
          <w:tcPr>
            <w:tcW w:w="4320" w:type="dxa"/>
            <w:vAlign w:val="bottom"/>
          </w:tcPr>
          <w:p>
            <w:pPr>
              <w:spacing w:after="0"/>
              <w:rPr>
                <w:sz w:val="22"/>
                <w:szCs w:val="22"/>
                <w:color w:val="auto"/>
              </w:rPr>
            </w:pPr>
          </w:p>
        </w:tc>
      </w:tr>
      <w:tr>
        <w:trPr>
          <w:trHeight w:val="571"/>
        </w:trPr>
        <w:tc>
          <w:tcPr>
            <w:tcW w:w="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w:t>
            </w:r>
          </w:p>
        </w:tc>
        <w:tc>
          <w:tcPr>
            <w:tcW w:w="2160" w:type="dxa"/>
            <w:vAlign w:val="bottom"/>
            <w:tcBorders>
              <w:bottom w:val="single" w:sz="8" w:color="auto"/>
            </w:tcBorders>
          </w:tcPr>
          <w:p>
            <w:pPr>
              <w:jc w:val="center"/>
              <w:ind w:right="780"/>
              <w:spacing w:after="0"/>
              <w:rPr>
                <w:sz w:val="20"/>
                <w:szCs w:val="20"/>
                <w:color w:val="auto"/>
              </w:rPr>
            </w:pPr>
            <w:r>
              <w:rPr>
                <w:rFonts w:ascii="Times New Roman" w:cs="Times New Roman" w:eastAsia="Times New Roman" w:hAnsi="Times New Roman"/>
                <w:sz w:val="20"/>
                <w:szCs w:val="20"/>
                <w:color w:val="auto"/>
                <w:w w:val="99"/>
              </w:rPr>
              <w:t>Janet Haugen</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64"/>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b w:val="1"/>
                <w:bCs w:val="1"/>
                <w:color w:val="auto"/>
                <w:w w:val="99"/>
              </w:rPr>
              <w:t>Janet Haugen</w:t>
            </w:r>
          </w:p>
        </w:tc>
        <w:tc>
          <w:tcPr>
            <w:tcW w:w="4320" w:type="dxa"/>
            <w:vAlign w:val="bottom"/>
          </w:tcPr>
          <w:p>
            <w:pPr>
              <w:spacing w:after="0"/>
              <w:rPr>
                <w:sz w:val="22"/>
                <w:szCs w:val="22"/>
                <w:color w:val="auto"/>
              </w:rPr>
            </w:pPr>
          </w:p>
        </w:tc>
      </w:tr>
      <w:tr>
        <w:trPr>
          <w:trHeight w:val="571"/>
        </w:trPr>
        <w:tc>
          <w:tcPr>
            <w:tcW w:w="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w:t>
            </w:r>
          </w:p>
        </w:tc>
        <w:tc>
          <w:tcPr>
            <w:tcW w:w="2160" w:type="dxa"/>
            <w:vAlign w:val="bottom"/>
            <w:tcBorders>
              <w:bottom w:val="single" w:sz="8" w:color="auto"/>
            </w:tcBorders>
          </w:tcPr>
          <w:p>
            <w:pPr>
              <w:jc w:val="center"/>
              <w:ind w:right="820"/>
              <w:spacing w:after="0"/>
              <w:rPr>
                <w:sz w:val="20"/>
                <w:szCs w:val="20"/>
                <w:color w:val="auto"/>
              </w:rPr>
            </w:pPr>
            <w:r>
              <w:rPr>
                <w:rFonts w:ascii="Times New Roman" w:cs="Times New Roman" w:eastAsia="Times New Roman" w:hAnsi="Times New Roman"/>
                <w:sz w:val="20"/>
                <w:szCs w:val="20"/>
                <w:color w:val="auto"/>
              </w:rPr>
              <w:t>Irv Henderson</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64"/>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Irv Henderson</w:t>
            </w:r>
          </w:p>
        </w:tc>
        <w:tc>
          <w:tcPr>
            <w:tcW w:w="4320" w:type="dxa"/>
            <w:vAlign w:val="bottom"/>
          </w:tcPr>
          <w:p>
            <w:pPr>
              <w:spacing w:after="0"/>
              <w:rPr>
                <w:sz w:val="22"/>
                <w:szCs w:val="22"/>
                <w:color w:val="auto"/>
              </w:rPr>
            </w:pPr>
          </w:p>
        </w:tc>
      </w:tr>
      <w:tr>
        <w:trPr>
          <w:trHeight w:val="541"/>
        </w:trPr>
        <w:tc>
          <w:tcPr>
            <w:tcW w:w="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w:t>
            </w:r>
          </w:p>
        </w:tc>
        <w:tc>
          <w:tcPr>
            <w:tcW w:w="2160" w:type="dxa"/>
            <w:vAlign w:val="bottom"/>
            <w:tcBorders>
              <w:bottom w:val="single" w:sz="8" w:color="auto"/>
            </w:tcBorders>
          </w:tcPr>
          <w:p>
            <w:pPr>
              <w:jc w:val="center"/>
              <w:ind w:right="780"/>
              <w:spacing w:after="0"/>
              <w:rPr>
                <w:sz w:val="20"/>
                <w:szCs w:val="20"/>
                <w:color w:val="auto"/>
              </w:rPr>
            </w:pPr>
            <w:r>
              <w:rPr>
                <w:rFonts w:ascii="Times New Roman" w:cs="Times New Roman" w:eastAsia="Times New Roman" w:hAnsi="Times New Roman"/>
                <w:sz w:val="20"/>
                <w:szCs w:val="20"/>
                <w:color w:val="auto"/>
                <w:w w:val="99"/>
              </w:rPr>
              <w:t>Kirk Larsen</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64"/>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b w:val="1"/>
                <w:bCs w:val="1"/>
                <w:color w:val="auto"/>
                <w:w w:val="99"/>
              </w:rPr>
              <w:t>Kirk Larsen</w:t>
            </w:r>
          </w:p>
        </w:tc>
        <w:tc>
          <w:tcPr>
            <w:tcW w:w="4320" w:type="dxa"/>
            <w:vAlign w:val="bottom"/>
          </w:tcPr>
          <w:p>
            <w:pPr>
              <w:spacing w:after="0"/>
              <w:rPr>
                <w:sz w:val="22"/>
                <w:szCs w:val="22"/>
                <w:color w:val="auto"/>
              </w:rPr>
            </w:pPr>
          </w:p>
        </w:tc>
      </w:tr>
      <w:tr>
        <w:trPr>
          <w:trHeight w:val="481"/>
        </w:trPr>
        <w:tc>
          <w:tcPr>
            <w:tcW w:w="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w:t>
            </w:r>
          </w:p>
        </w:tc>
        <w:tc>
          <w:tcPr>
            <w:tcW w:w="2160" w:type="dxa"/>
            <w:vAlign w:val="bottom"/>
            <w:tcBorders>
              <w:bottom w:val="single" w:sz="8" w:color="auto"/>
            </w:tcBorders>
          </w:tcPr>
          <w:p>
            <w:pPr>
              <w:jc w:val="center"/>
              <w:ind w:right="820"/>
              <w:spacing w:after="0"/>
              <w:rPr>
                <w:sz w:val="20"/>
                <w:szCs w:val="20"/>
                <w:color w:val="auto"/>
              </w:rPr>
            </w:pPr>
            <w:r>
              <w:rPr>
                <w:rFonts w:ascii="Times New Roman" w:cs="Times New Roman" w:eastAsia="Times New Roman" w:hAnsi="Times New Roman"/>
                <w:sz w:val="20"/>
                <w:szCs w:val="20"/>
                <w:color w:val="auto"/>
                <w:w w:val="98"/>
              </w:rPr>
              <w:t>Laura Miller</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64"/>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b w:val="1"/>
                <w:bCs w:val="1"/>
                <w:color w:val="auto"/>
                <w:w w:val="98"/>
              </w:rPr>
              <w:t>Laura Miller</w:t>
            </w:r>
          </w:p>
        </w:tc>
        <w:tc>
          <w:tcPr>
            <w:tcW w:w="4320" w:type="dxa"/>
            <w:vAlign w:val="bottom"/>
          </w:tcPr>
          <w:p>
            <w:pPr>
              <w:spacing w:after="0"/>
              <w:rPr>
                <w:sz w:val="22"/>
                <w:szCs w:val="22"/>
                <w:color w:val="auto"/>
              </w:rPr>
            </w:pPr>
          </w:p>
        </w:tc>
      </w:tr>
      <w:tr>
        <w:trPr>
          <w:trHeight w:val="481"/>
        </w:trPr>
        <w:tc>
          <w:tcPr>
            <w:tcW w:w="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center"/>
              <w:ind w:right="860"/>
              <w:spacing w:after="0"/>
              <w:rPr>
                <w:sz w:val="20"/>
                <w:szCs w:val="20"/>
                <w:color w:val="auto"/>
              </w:rPr>
            </w:pPr>
            <w:r>
              <w:rPr>
                <w:rFonts w:ascii="Times New Roman" w:cs="Times New Roman" w:eastAsia="Times New Roman" w:hAnsi="Times New Roman"/>
                <w:sz w:val="20"/>
                <w:szCs w:val="20"/>
                <w:color w:val="auto"/>
              </w:rPr>
              <w:t>/s/  Laura Sen</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64"/>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60" w:type="dxa"/>
            <w:vAlign w:val="bottom"/>
          </w:tcPr>
          <w:p>
            <w:pPr>
              <w:jc w:val="center"/>
              <w:ind w:right="1160"/>
              <w:spacing w:after="0"/>
              <w:rPr>
                <w:sz w:val="20"/>
                <w:szCs w:val="20"/>
                <w:color w:val="auto"/>
              </w:rPr>
            </w:pPr>
            <w:r>
              <w:rPr>
                <w:rFonts w:ascii="Times New Roman" w:cs="Times New Roman" w:eastAsia="Times New Roman" w:hAnsi="Times New Roman"/>
                <w:sz w:val="20"/>
                <w:szCs w:val="20"/>
                <w:b w:val="1"/>
                <w:bCs w:val="1"/>
                <w:color w:val="auto"/>
              </w:rPr>
              <w:t>Laura Sen</w:t>
            </w:r>
          </w:p>
        </w:tc>
        <w:tc>
          <w:tcPr>
            <w:tcW w:w="4320" w:type="dxa"/>
            <w:vAlign w:val="bottom"/>
          </w:tcPr>
          <w:p>
            <w:pPr>
              <w:spacing w:after="0"/>
              <w:rPr>
                <w:sz w:val="22"/>
                <w:szCs w:val="22"/>
                <w:color w:val="auto"/>
              </w:rPr>
            </w:pPr>
          </w:p>
        </w:tc>
      </w:tr>
      <w:tr>
        <w:trPr>
          <w:trHeight w:val="481"/>
        </w:trPr>
        <w:tc>
          <w:tcPr>
            <w:tcW w:w="5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w:t>
            </w:r>
          </w:p>
        </w:tc>
        <w:tc>
          <w:tcPr>
            <w:tcW w:w="2160" w:type="dxa"/>
            <w:vAlign w:val="bottom"/>
            <w:tcBorders>
              <w:bottom w:val="single" w:sz="8" w:color="auto"/>
            </w:tcBorders>
          </w:tcPr>
          <w:p>
            <w:pPr>
              <w:jc w:val="center"/>
              <w:ind w:right="840"/>
              <w:spacing w:after="0"/>
              <w:rPr>
                <w:sz w:val="20"/>
                <w:szCs w:val="20"/>
                <w:color w:val="auto"/>
              </w:rPr>
            </w:pPr>
            <w:r>
              <w:rPr>
                <w:rFonts w:ascii="Times New Roman" w:cs="Times New Roman" w:eastAsia="Times New Roman" w:hAnsi="Times New Roman"/>
                <w:sz w:val="20"/>
                <w:szCs w:val="20"/>
                <w:color w:val="auto"/>
                <w:w w:val="99"/>
              </w:rPr>
              <w:t>Jeffrey Sloan</w:t>
            </w:r>
          </w:p>
        </w:tc>
        <w:tc>
          <w:tcPr>
            <w:tcW w:w="4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Director</w:t>
            </w:r>
          </w:p>
        </w:tc>
      </w:tr>
      <w:tr>
        <w:trPr>
          <w:trHeight w:val="264"/>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Jeffrey Sloan</w:t>
            </w:r>
          </w:p>
        </w:tc>
        <w:tc>
          <w:tcPr>
            <w:tcW w:w="4320" w:type="dxa"/>
            <w:vAlign w:val="bottom"/>
          </w:tcPr>
          <w:p>
            <w:pPr>
              <w:spacing w:after="0"/>
              <w:rPr>
                <w:sz w:val="22"/>
                <w:szCs w:val="22"/>
                <w:color w:val="auto"/>
              </w:rPr>
            </w:pPr>
          </w:p>
        </w:tc>
      </w:tr>
      <w:tr>
        <w:trPr>
          <w:trHeight w:val="508"/>
        </w:trPr>
        <w:tc>
          <w:tcPr>
            <w:tcW w:w="1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w:t>
            </w:r>
          </w:p>
        </w:tc>
        <w:tc>
          <w:tcPr>
            <w:tcW w:w="300" w:type="dxa"/>
            <w:vAlign w:val="bottom"/>
          </w:tcPr>
          <w:p>
            <w:pPr>
              <w:spacing w:after="0"/>
              <w:rPr>
                <w:sz w:val="24"/>
                <w:szCs w:val="24"/>
                <w:color w:val="auto"/>
              </w:rPr>
            </w:pPr>
          </w:p>
        </w:tc>
        <w:tc>
          <w:tcPr>
            <w:tcW w:w="21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February 26, 2026</w:t>
            </w:r>
          </w:p>
        </w:tc>
        <w:tc>
          <w:tcPr>
            <w:tcW w:w="432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9800"/>
          </w:cols>
          <w:pgMar w:left="1000" w:top="2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9800"/>
          </w:cols>
          <w:pgMar w:left="1000" w:top="220" w:right="1440" w:bottom="0" w:gutter="0" w:footer="0" w:header="0"/>
          <w:type w:val="continuous"/>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2399030</wp:posOffset>
            </wp:positionH>
            <wp:positionV relativeFrom="page">
              <wp:posOffset>431800</wp:posOffset>
            </wp:positionV>
            <wp:extent cx="2591435" cy="3835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7">
                      <a:extLst>
                        <a:ext uri="{28A0092B-C50C-407E-A947-70E740481C1C}"/>
                      </a:extLst>
                    </a:blip>
                    <a:srcRect/>
                    <a:stretch>
                      <a:fillRect/>
                    </a:stretch>
                  </pic:blipFill>
                  <pic:spPr bwMode="auto">
                    <a:xfrm>
                      <a:off x="0" y="0"/>
                      <a:ext cx="2591435" cy="38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B348E"/>
        </w:rPr>
        <w:t>NCR VOYIX CORPORATION (NCR VOYIX):</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090B0B"/>
        </w:rPr>
        <w:t>864 Spring Street NW Atlanta, Georgia 30308-1007</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5B348E"/>
        </w:rPr>
        <w:t>ANNUAL MEETING OF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090B0B"/>
        </w:rPr>
        <w:t>Wednesday, June 3, 2026, at 9:30 AM, Eastern Time</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090B0B"/>
        </w:rPr>
        <w:t>The 2026 Annual Meeting of Stockholders will be a virtual meeting, which will be conducted via live webcast at www.virtualshareholdermeeting.com/VYX2026.</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5B348E"/>
        </w:rPr>
        <w:t>COMPANY INFORMATION:</w:t>
      </w:r>
    </w:p>
    <w:p>
      <w:pPr>
        <w:spacing w:after="0" w:line="179" w:lineRule="exact"/>
        <w:rPr>
          <w:sz w:val="20"/>
          <w:szCs w:val="20"/>
          <w:color w:val="auto"/>
        </w:rPr>
      </w:pPr>
    </w:p>
    <w:p>
      <w:pPr>
        <w:jc w:val="both"/>
        <w:spacing w:after="0" w:line="411" w:lineRule="auto"/>
        <w:rPr>
          <w:sz w:val="20"/>
          <w:szCs w:val="20"/>
          <w:color w:val="auto"/>
        </w:rPr>
      </w:pPr>
      <w:r>
        <w:rPr>
          <w:rFonts w:ascii="Arial" w:cs="Arial" w:eastAsia="Arial" w:hAnsi="Arial"/>
          <w:sz w:val="15"/>
          <w:szCs w:val="15"/>
          <w:color w:val="090B0B"/>
        </w:rPr>
        <w:t>Copies of the NCR Voyix Annual Report on Form 10-K (Form 10-K), other filings made with the SEC, whether filed or furnished, and other financial information are available on our website at investor</w:t>
      </w:r>
      <w:r>
        <w:rPr>
          <w:rFonts w:ascii="Arial" w:cs="Arial" w:eastAsia="Arial" w:hAnsi="Arial"/>
          <w:sz w:val="15"/>
          <w:szCs w:val="15"/>
          <w:color w:val="464442"/>
        </w:rPr>
        <w:t>.</w:t>
      </w:r>
      <w:r>
        <w:rPr>
          <w:rFonts w:ascii="Arial" w:cs="Arial" w:eastAsia="Arial" w:hAnsi="Arial"/>
          <w:sz w:val="15"/>
          <w:szCs w:val="15"/>
          <w:color w:val="090B0B"/>
        </w:rPr>
        <w:t>ncrvoyix</w:t>
      </w:r>
      <w:r>
        <w:rPr>
          <w:rFonts w:ascii="Arial" w:cs="Arial" w:eastAsia="Arial" w:hAnsi="Arial"/>
          <w:sz w:val="15"/>
          <w:szCs w:val="15"/>
          <w:color w:val="2F2D2C"/>
        </w:rPr>
        <w:t>.</w:t>
      </w:r>
      <w:r>
        <w:rPr>
          <w:rFonts w:ascii="Arial" w:cs="Arial" w:eastAsia="Arial" w:hAnsi="Arial"/>
          <w:sz w:val="15"/>
          <w:szCs w:val="15"/>
          <w:color w:val="090B0B"/>
        </w:rPr>
        <w:t>com</w:t>
      </w:r>
      <w:r>
        <w:rPr>
          <w:rFonts w:ascii="Arial" w:cs="Arial" w:eastAsia="Arial" w:hAnsi="Arial"/>
          <w:sz w:val="15"/>
          <w:szCs w:val="15"/>
          <w:color w:val="464442"/>
        </w:rPr>
        <w:t>.</w:t>
      </w:r>
      <w:r>
        <w:rPr>
          <w:rFonts w:ascii="Arial" w:cs="Arial" w:eastAsia="Arial" w:hAnsi="Arial"/>
          <w:sz w:val="15"/>
          <w:szCs w:val="15"/>
          <w:color w:val="090B0B"/>
        </w:rPr>
        <w:t xml:space="preserve"> The information we post on this website could be deemed to be material information</w:t>
      </w:r>
      <w:r>
        <w:rPr>
          <w:rFonts w:ascii="Arial" w:cs="Arial" w:eastAsia="Arial" w:hAnsi="Arial"/>
          <w:sz w:val="15"/>
          <w:szCs w:val="15"/>
          <w:color w:val="464442"/>
        </w:rPr>
        <w:t>. We</w:t>
      </w:r>
      <w:r>
        <w:rPr>
          <w:rFonts w:ascii="Arial" w:cs="Arial" w:eastAsia="Arial" w:hAnsi="Arial"/>
          <w:sz w:val="15"/>
          <w:szCs w:val="15"/>
          <w:color w:val="090B0B"/>
        </w:rPr>
        <w:t xml:space="preserve"> encourage investors, the media and others interested in NCR Voyix to visit this website regularly, as information may be updated and new information could be posted at any time</w:t>
      </w:r>
      <w:r>
        <w:rPr>
          <w:rFonts w:ascii="Arial" w:cs="Arial" w:eastAsia="Arial" w:hAnsi="Arial"/>
          <w:sz w:val="15"/>
          <w:szCs w:val="15"/>
          <w:color w:val="2F2D2C"/>
        </w:rPr>
        <w:t>.</w:t>
      </w:r>
    </w:p>
    <w:p>
      <w:pPr>
        <w:spacing w:after="0" w:line="68" w:lineRule="exact"/>
        <w:rPr>
          <w:sz w:val="20"/>
          <w:szCs w:val="20"/>
          <w:color w:val="auto"/>
        </w:rPr>
      </w:pPr>
    </w:p>
    <w:p>
      <w:pPr>
        <w:jc w:val="both"/>
        <w:spacing w:after="0" w:line="423" w:lineRule="auto"/>
        <w:rPr>
          <w:sz w:val="20"/>
          <w:szCs w:val="20"/>
          <w:color w:val="auto"/>
        </w:rPr>
      </w:pPr>
      <w:r>
        <w:rPr>
          <w:rFonts w:ascii="Arial" w:cs="Arial" w:eastAsia="Arial" w:hAnsi="Arial"/>
          <w:sz w:val="15"/>
          <w:szCs w:val="15"/>
          <w:color w:val="090B0B"/>
        </w:rPr>
        <w:t>NCR Voyix filings with the SEC can also be found on the SEC's website at sec</w:t>
      </w:r>
      <w:r>
        <w:rPr>
          <w:rFonts w:ascii="Arial" w:cs="Arial" w:eastAsia="Arial" w:hAnsi="Arial"/>
          <w:sz w:val="15"/>
          <w:szCs w:val="15"/>
          <w:color w:val="2F2D2C"/>
        </w:rPr>
        <w:t>.</w:t>
      </w:r>
      <w:r>
        <w:rPr>
          <w:rFonts w:ascii="Arial" w:cs="Arial" w:eastAsia="Arial" w:hAnsi="Arial"/>
          <w:sz w:val="15"/>
          <w:szCs w:val="15"/>
          <w:color w:val="090B0B"/>
        </w:rPr>
        <w:t>gov</w:t>
      </w:r>
      <w:r>
        <w:rPr>
          <w:rFonts w:ascii="Arial" w:cs="Arial" w:eastAsia="Arial" w:hAnsi="Arial"/>
          <w:sz w:val="15"/>
          <w:szCs w:val="15"/>
          <w:color w:val="2F2D2C"/>
        </w:rPr>
        <w:t>.</w:t>
      </w:r>
      <w:r>
        <w:rPr>
          <w:rFonts w:ascii="Arial" w:cs="Arial" w:eastAsia="Arial" w:hAnsi="Arial"/>
          <w:sz w:val="15"/>
          <w:szCs w:val="15"/>
          <w:color w:val="090B0B"/>
        </w:rPr>
        <w:t xml:space="preserve"> Information requests for NCR Voyix's SEC filings, including its Form 10-K, quarterly reports and other financial information, can be obtained without charge by writing</w:t>
      </w:r>
      <w:r>
        <w:rPr>
          <w:rFonts w:ascii="Arial" w:cs="Arial" w:eastAsia="Arial" w:hAnsi="Arial"/>
          <w:sz w:val="15"/>
          <w:szCs w:val="15"/>
          <w:color w:val="2F2D2C"/>
        </w:rPr>
        <w:t>:</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6"/>
          <w:szCs w:val="16"/>
          <w:color w:val="090B0B"/>
        </w:rPr>
        <w:t>NCR Voyix Corporation</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090B0B"/>
        </w:rPr>
        <w:t>Attn</w:t>
      </w:r>
      <w:r>
        <w:rPr>
          <w:rFonts w:ascii="Arial" w:cs="Arial" w:eastAsia="Arial" w:hAnsi="Arial"/>
          <w:sz w:val="16"/>
          <w:szCs w:val="16"/>
          <w:color w:val="2F2D2C"/>
        </w:rPr>
        <w:t>:</w:t>
      </w:r>
      <w:r>
        <w:rPr>
          <w:rFonts w:ascii="Arial" w:cs="Arial" w:eastAsia="Arial" w:hAnsi="Arial"/>
          <w:sz w:val="16"/>
          <w:szCs w:val="16"/>
          <w:color w:val="090B0B"/>
        </w:rPr>
        <w:t xml:space="preserve"> Corporate Secretary</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090B0B"/>
        </w:rPr>
        <w:t>864 Spring Street NW</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6"/>
          <w:szCs w:val="16"/>
          <w:color w:val="090B0B"/>
        </w:rPr>
        <w:t>Atlanta, Georgia 30308-1007</w:t>
      </w:r>
    </w:p>
    <w:p>
      <w:pPr>
        <w:spacing w:after="0" w:line="334"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090B0B"/>
        </w:rPr>
        <w:t xml:space="preserve">Stockholders can help us reduce printing and mailing costs by viewing our annual reports and proxy statements online as instructed on the Notice of Internet Availability of Proxy Materials (the </w:t>
      </w:r>
      <w:r>
        <w:rPr>
          <w:rFonts w:ascii="Arial" w:cs="Arial" w:eastAsia="Arial" w:hAnsi="Arial"/>
          <w:sz w:val="16"/>
          <w:szCs w:val="16"/>
          <w:color w:val="1C1C1B"/>
        </w:rPr>
        <w:t>"Notice")</w:t>
      </w:r>
      <w:r>
        <w:rPr>
          <w:rFonts w:ascii="Arial" w:cs="Arial" w:eastAsia="Arial" w:hAnsi="Arial"/>
          <w:sz w:val="16"/>
          <w:szCs w:val="16"/>
          <w:color w:val="090B0B"/>
        </w:rPr>
        <w:t xml:space="preserve"> that we will send to you</w:t>
      </w:r>
      <w:r>
        <w:rPr>
          <w:rFonts w:ascii="Arial" w:cs="Arial" w:eastAsia="Arial" w:hAnsi="Arial"/>
          <w:sz w:val="16"/>
          <w:szCs w:val="16"/>
          <w:color w:val="464442"/>
        </w:rPr>
        <w:t>.</w:t>
      </w:r>
      <w:r>
        <w:rPr>
          <w:rFonts w:ascii="Arial" w:cs="Arial" w:eastAsia="Arial" w:hAnsi="Arial"/>
          <w:sz w:val="16"/>
          <w:szCs w:val="16"/>
          <w:color w:val="090B0B"/>
        </w:rPr>
        <w:t xml:space="preserve"> If you would like a paper copy, you may request one at no cost to you as instructed in the Notice</w:t>
      </w:r>
      <w:r>
        <w:rPr>
          <w:rFonts w:ascii="Arial" w:cs="Arial" w:eastAsia="Arial" w:hAnsi="Arial"/>
          <w:sz w:val="16"/>
          <w:szCs w:val="16"/>
          <w:color w:val="2F2D2C"/>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5B348E"/>
        </w:rPr>
        <w:t>NCR VOYIX EXECUTIVE OFFICERS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James G. Kelly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90B0B"/>
        </w:rPr>
        <w:t>President and 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Brian Webb-Walsh</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090B0B"/>
        </w:rPr>
        <w:t>Executive Vice President and Chief Financial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Darren Wilson</w:t>
      </w:r>
    </w:p>
    <w:p>
      <w:pPr>
        <w:spacing w:after="0" w:line="53" w:lineRule="exact"/>
        <w:rPr>
          <w:sz w:val="20"/>
          <w:szCs w:val="20"/>
          <w:color w:val="auto"/>
        </w:rPr>
      </w:pPr>
    </w:p>
    <w:p>
      <w:pPr>
        <w:ind w:right="720"/>
        <w:spacing w:after="0" w:line="348" w:lineRule="auto"/>
        <w:rPr>
          <w:sz w:val="20"/>
          <w:szCs w:val="20"/>
          <w:color w:val="auto"/>
        </w:rPr>
      </w:pPr>
      <w:r>
        <w:rPr>
          <w:rFonts w:ascii="Arial" w:cs="Arial" w:eastAsia="Arial" w:hAnsi="Arial"/>
          <w:sz w:val="18"/>
          <w:szCs w:val="18"/>
          <w:color w:val="090B0B"/>
        </w:rPr>
        <w:t>Executive Vice President and President, Retail and Payments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Beimnet Tadele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90B0B"/>
        </w:rPr>
        <w:t>Executive Vice President and President</w:t>
      </w:r>
      <w:r>
        <w:rPr>
          <w:rFonts w:ascii="Arial" w:cs="Arial" w:eastAsia="Arial" w:hAnsi="Arial"/>
          <w:sz w:val="16"/>
          <w:szCs w:val="16"/>
          <w:color w:val="2F2D2C"/>
        </w:rPr>
        <w:t>,</w:t>
      </w:r>
      <w:r>
        <w:rPr>
          <w:rFonts w:ascii="Arial" w:cs="Arial" w:eastAsia="Arial" w:hAnsi="Arial"/>
          <w:sz w:val="16"/>
          <w:szCs w:val="16"/>
          <w:color w:val="090B0B"/>
        </w:rPr>
        <w:t xml:space="preserve"> Restaurants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Kelli Sterrett</w:t>
      </w:r>
    </w:p>
    <w:p>
      <w:pPr>
        <w:spacing w:after="0" w:line="53" w:lineRule="exact"/>
        <w:rPr>
          <w:sz w:val="20"/>
          <w:szCs w:val="20"/>
          <w:color w:val="auto"/>
        </w:rPr>
      </w:pPr>
    </w:p>
    <w:p>
      <w:pPr>
        <w:ind w:right="940"/>
        <w:spacing w:after="0" w:line="348" w:lineRule="auto"/>
        <w:rPr>
          <w:sz w:val="20"/>
          <w:szCs w:val="20"/>
          <w:color w:val="auto"/>
        </w:rPr>
      </w:pPr>
      <w:r>
        <w:rPr>
          <w:rFonts w:ascii="Arial" w:cs="Arial" w:eastAsia="Arial" w:hAnsi="Arial"/>
          <w:sz w:val="18"/>
          <w:szCs w:val="18"/>
          <w:color w:val="090B0B"/>
        </w:rPr>
        <w:t>Executive Vice President, General Counsel and Secretary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James Wise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90B0B"/>
        </w:rPr>
        <w:t>Chief Accounting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5B348E"/>
        </w:rPr>
        <w:t>NCR VOYIX BOARD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James G. Kelly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90B0B"/>
        </w:rPr>
        <w:t>President and 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Kevin Reddy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90B0B"/>
        </w:rPr>
        <w:t>Independent Chair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Catherine L. Burke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Janet Haugen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Irv Henderson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Kirk Larsen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Laura Miller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Laura Sen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90B0B"/>
        </w:rPr>
        <w:t>Jeffrey Sloan</w:t>
      </w:r>
    </w:p>
    <w:p>
      <w:pPr>
        <w:sectPr>
          <w:pgSz w:w="12240" w:h="15840" w:orient="portrait"/>
          <w:cols w:equalWidth="0" w:num="2">
            <w:col w:w="4320" w:space="580"/>
            <w:col w:w="4540"/>
          </w:cols>
          <w:pgMar w:left="1360" w:top="1440" w:right="1440" w:bottom="1440" w:gutter="0" w:footer="0" w:header="0"/>
        </w:sectPr>
      </w:pPr>
    </w:p>
    <w:bookmarkStart w:id="130" w:name="page131"/>
    <w:bookmarkEnd w:id="130"/>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o"/>
      <w:numFmt w:val="bullet"/>
      <w:start w:val="1"/>
    </w:lvl>
  </w:abstractNum>
  <w:abstractNum w:abstractNumId="2">
    <w:nsid w:val="5E884ADC"/>
    <w:multiLevelType w:val="hybridMultilevel"/>
    <w:lvl w:ilvl="0">
      <w:lvlJc w:val="left"/>
      <w:lvlText w:val="%1."/>
      <w:numFmt w:val="decimal"/>
      <w:start w:val="5"/>
    </w:lvl>
  </w:abstractNum>
  <w:abstractNum w:abstractNumId="3">
    <w:nsid w:val="51EAD36B"/>
    <w:multiLevelType w:val="hybridMultilevel"/>
    <w:lvl w:ilvl="0">
      <w:lvlJc w:val="left"/>
      <w:lvlText w:val="&amp;"/>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lvl w:ilvl="1">
      <w:lvlJc w:val="left"/>
      <w:lvlText w:val="◦"/>
      <w:numFmt w:val="bullet"/>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2"/>
    </w:lvl>
  </w:abstractNum>
  <w:abstractNum w:abstractNumId="29">
    <w:nsid w:val="12E685FB"/>
    <w:multiLevelType w:val="hybridMultilevel"/>
    <w:lvl w:ilvl="0">
      <w:lvlJc w:val="left"/>
      <w:lvlText w:val="(%1)"/>
      <w:numFmt w:val="decimal"/>
      <w:start w:val="2"/>
    </w:lvl>
  </w:abstractNum>
  <w:abstractNum w:abstractNumId="30">
    <w:nsid w:val="70C6A529"/>
    <w:multiLevelType w:val="hybridMultilevel"/>
    <w:lvl w:ilvl="0">
      <w:lvlJc w:val="left"/>
      <w:lvlText w:val="(%1)"/>
      <w:numFmt w:val="decimal"/>
      <w:start w:val="7"/>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470"/>
    </w:lvl>
  </w:abstractNum>
  <w:abstractNum w:abstractNumId="35">
    <w:nsid w:val="649BB77C"/>
    <w:multiLevelType w:val="hybridMultilevel"/>
    <w:lvl w:ilvl="0">
      <w:lvlJc w:val="left"/>
      <w:lvlText w:val="%1"/>
      <w:numFmt w:val="decimal"/>
      <w:start w:val="217"/>
    </w:lvl>
  </w:abstractNum>
  <w:abstractNum w:abstractNumId="36">
    <w:nsid w:val="275AC794"/>
    <w:multiLevelType w:val="hybridMultilevel"/>
    <w:lvl w:ilvl="0">
      <w:lvlJc w:val="left"/>
      <w:lvlText w:val="%1"/>
      <w:numFmt w:val="decimal"/>
      <w:start w:val="177"/>
    </w:lvl>
  </w:abstractNum>
  <w:abstractNum w:abstractNumId="37">
    <w:nsid w:val="39386575"/>
    <w:multiLevelType w:val="hybridMultilevel"/>
    <w:lvl w:ilvl="0">
      <w:lvlJc w:val="left"/>
      <w:lvlText w:val="%1"/>
      <w:numFmt w:val="decimal"/>
      <w:start w:val="174"/>
    </w:lvl>
  </w:abstractNum>
  <w:abstractNum w:abstractNumId="38">
    <w:nsid w:val="1CF10FD8"/>
    <w:multiLevelType w:val="hybridMultilevel"/>
    <w:lvl w:ilvl="0">
      <w:lvlJc w:val="left"/>
      <w:lvlText w:val="%1"/>
      <w:numFmt w:val="decimal"/>
      <w:start w:val="208"/>
    </w:lvl>
  </w:abstractNum>
  <w:abstractNum w:abstractNumId="39">
    <w:nsid w:val="180115BE"/>
    <w:multiLevelType w:val="hybridMultilevel"/>
    <w:lvl w:ilvl="0">
      <w:lvlJc w:val="left"/>
      <w:lvlText w:val="%1"/>
      <w:numFmt w:val="decimal"/>
      <w:start w:val="185"/>
    </w:lvl>
  </w:abstractNum>
  <w:abstractNum w:abstractNumId="40">
    <w:nsid w:val="235BA861"/>
    <w:multiLevelType w:val="hybridMultilevel"/>
    <w:lvl w:ilvl="0">
      <w:lvlJc w:val="left"/>
      <w:lvlText w:val="%1"/>
      <w:numFmt w:val="decimal"/>
      <w:start w:val="598"/>
    </w:lvl>
  </w:abstractNum>
  <w:abstractNum w:abstractNumId="41">
    <w:nsid w:val="47398C89"/>
    <w:multiLevelType w:val="hybridMultilevel"/>
    <w:lvl w:ilvl="0">
      <w:lvlJc w:val="left"/>
      <w:lvlText w:val="%1"/>
      <w:numFmt w:val="decimal"/>
      <w:start w:val="98"/>
    </w:lvl>
  </w:abstractNum>
  <w:abstractNum w:abstractNumId="42">
    <w:nsid w:val="354FE9F9"/>
    <w:multiLevelType w:val="hybridMultilevel"/>
    <w:lvl w:ilvl="0">
      <w:lvlJc w:val="left"/>
      <w:lvlText w:val="%1"/>
      <w:numFmt w:val="decimal"/>
      <w:start w:val="202"/>
    </w:lvl>
  </w:abstractNum>
  <w:abstractNum w:abstractNumId="43">
    <w:nsid w:val="15B5AF5C"/>
    <w:multiLevelType w:val="hybridMultilevel"/>
    <w:lvl w:ilvl="0">
      <w:lvlJc w:val="left"/>
      <w:lvlText w:val="%1"/>
      <w:numFmt w:val="decimal"/>
      <w:start w:val="409"/>
    </w:lvl>
  </w:abstractNum>
  <w:abstractNum w:abstractNumId="44">
    <w:nsid w:val="741226BB"/>
    <w:multiLevelType w:val="hybridMultilevel"/>
    <w:lvl w:ilvl="0">
      <w:lvlJc w:val="left"/>
      <w:lvlText w:val="%1"/>
      <w:numFmt w:val="decimal"/>
      <w:start w:val="136"/>
    </w:lvl>
  </w:abstractNum>
  <w:abstractNum w:abstractNumId="45">
    <w:nsid w:val="D34B6A8"/>
    <w:multiLevelType w:val="hybridMultilevel"/>
    <w:lvl w:ilvl="0">
      <w:lvlJc w:val="left"/>
      <w:lvlText w:val="%1"/>
      <w:numFmt w:val="decimal"/>
      <w:start w:val="226"/>
    </w:lvl>
  </w:abstractNum>
  <w:abstractNum w:abstractNumId="46">
    <w:nsid w:val="10233C99"/>
    <w:multiLevelType w:val="hybridMultilevel"/>
    <w:lvl w:ilvl="0">
      <w:lvlJc w:val="left"/>
      <w:lvlText w:val="%1"/>
      <w:numFmt w:val="decimal"/>
      <w:start w:val="156"/>
    </w:lvl>
  </w:abstractNum>
  <w:abstractNum w:abstractNumId="47">
    <w:nsid w:val="3F6AB60F"/>
    <w:multiLevelType w:val="hybridMultilevel"/>
    <w:lvl w:ilvl="0">
      <w:lvlJc w:val="left"/>
      <w:lvlText w:val="%1"/>
      <w:numFmt w:val="decimal"/>
      <w:start w:val="207"/>
    </w:lvl>
  </w:abstractNum>
  <w:abstractNum w:abstractNumId="48">
    <w:nsid w:val="61574095"/>
    <w:multiLevelType w:val="hybridMultilevel"/>
    <w:lvl w:ilvl="0">
      <w:lvlJc w:val="left"/>
      <w:lvlText w:val="%1"/>
      <w:numFmt w:val="decimal"/>
      <w:start w:val="827"/>
    </w:lvl>
  </w:abstractNum>
  <w:abstractNum w:abstractNumId="49">
    <w:nsid w:val="7E0C57B1"/>
    <w:multiLevelType w:val="hybridMultilevel"/>
    <w:lvl w:ilvl="0">
      <w:lvlJc w:val="left"/>
      <w:lvlText w:val="%1"/>
      <w:numFmt w:val="decimal"/>
      <w:start w:val="559"/>
    </w:lvl>
  </w:abstractNum>
  <w:abstractNum w:abstractNumId="50">
    <w:nsid w:val="77AE35EB"/>
    <w:multiLevelType w:val="hybridMultilevel"/>
    <w:lvl w:ilvl="0">
      <w:lvlJc w:val="left"/>
      <w:lvlText w:val="(%1)"/>
      <w:numFmt w:val="decimal"/>
      <w:start w:val="439"/>
    </w:lvl>
  </w:abstractNum>
  <w:abstractNum w:abstractNumId="51">
    <w:nsid w:val="579BE4F1"/>
    <w:multiLevelType w:val="hybridMultilevel"/>
    <w:lvl w:ilvl="0">
      <w:lvlJc w:val="left"/>
      <w:lvlText w:val="%1"/>
      <w:numFmt w:val="decimal"/>
      <w:start w:val="948"/>
    </w:lvl>
  </w:abstractNum>
  <w:abstractNum w:abstractNumId="52">
    <w:nsid w:val="310C50B3"/>
    <w:multiLevelType w:val="hybridMultilevel"/>
    <w:lvl w:ilvl="0">
      <w:lvlJc w:val="left"/>
      <w:lvlText w:val="%1"/>
      <w:numFmt w:val="decimal"/>
      <w:start w:val="948"/>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decimal"/>
      <w:start w:val="3"/>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2"/>
    </w:lvl>
  </w:abstractNum>
  <w:abstractNum w:abstractNumId="68">
    <w:nsid w:val="42C296BD"/>
    <w:multiLevelType w:val="hybridMultilevel"/>
    <w:lvl w:ilvl="0">
      <w:lvlJc w:val="left"/>
      <w:lvlText w:val="(%1)"/>
      <w:numFmt w:val="lowerLetter"/>
      <w:start w:val="2"/>
    </w:lvl>
  </w:abstractNum>
  <w:abstractNum w:abstractNumId="69">
    <w:nsid w:val="168E121F"/>
    <w:multiLevelType w:val="hybridMultilevel"/>
    <w:lvl w:ilvl="0">
      <w:lvlJc w:val="left"/>
      <w:lvlText w:val="%1"/>
      <w:numFmt w:val="decimal"/>
      <w:start w:val="19"/>
    </w:lvl>
  </w:abstractNum>
  <w:abstractNum w:abstractNumId="70">
    <w:nsid w:val="1EBA5D23"/>
    <w:multiLevelType w:val="hybridMultilevel"/>
    <w:lvl w:ilvl="0">
      <w:lvlJc w:val="left"/>
      <w:lvlText w:val="%1"/>
      <w:numFmt w:val="decimal"/>
      <w:start w:val="21"/>
    </w:lvl>
  </w:abstractNum>
  <w:abstractNum w:abstractNumId="71">
    <w:nsid w:val="661E3F1E"/>
    <w:multiLevelType w:val="hybridMultilevel"/>
    <w:lvl w:ilvl="0">
      <w:lvlJc w:val="left"/>
      <w:lvlText w:val="%1"/>
      <w:numFmt w:val="decimal"/>
      <w:start w:val="32"/>
    </w:lvl>
  </w:abstractNum>
  <w:abstractNum w:abstractNumId="72">
    <w:nsid w:val="5DC79EA8"/>
    <w:multiLevelType w:val="hybridMultilevel"/>
    <w:lvl w:ilvl="0">
      <w:lvlJc w:val="left"/>
      <w:lvlText w:val="%1"/>
      <w:numFmt w:val="decimal"/>
      <w:start w:val="97"/>
    </w:lvl>
  </w:abstractNum>
  <w:abstractNum w:abstractNumId="73">
    <w:nsid w:val="540A471C"/>
    <w:multiLevelType w:val="hybridMultilevel"/>
    <w:lvl w:ilvl="0">
      <w:lvlJc w:val="left"/>
      <w:lvlText w:val="%1"/>
      <w:numFmt w:val="decimal"/>
      <w:start w:val="101"/>
    </w:lvl>
  </w:abstractNum>
  <w:abstractNum w:abstractNumId="74">
    <w:nsid w:val="7BD3EE7B"/>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2026-04-21T15:43:33Z</dcterms:created>
  <dcterms:modified xsi:type="dcterms:W3CDTF">2026-04-21T15:43:33Z</dcterms:modified>
</cp:coreProperties>
</file>