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4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NCR VOYIX CORPORATION</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226060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Commission File Number 001-00395</w:t>
      </w:r>
    </w:p>
    <w:p>
      <w:pPr>
        <w:sectPr>
          <w:pgSz w:w="11900" w:h="16838" w:orient="portrait"/>
          <w:cols w:equalWidth="0" w:num="1">
            <w:col w:w="11220"/>
          </w:cols>
          <w:pgMar w:left="320" w:top="945" w:right="359" w:bottom="1440" w:gutter="0" w:footer="0" w:header="0"/>
        </w:sectPr>
      </w:pPr>
    </w:p>
    <w:p>
      <w:pPr>
        <w:spacing w:after="0" w:line="14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31-0387920</w:t>
      </w:r>
    </w:p>
    <w:p>
      <w:pPr>
        <w:spacing w:after="0" w:line="18" w:lineRule="exact"/>
        <w:rPr>
          <w:sz w:val="24"/>
          <w:szCs w:val="24"/>
          <w:color w:val="auto"/>
        </w:rPr>
      </w:pPr>
    </w:p>
    <w:p>
      <w:pPr>
        <w:sectPr>
          <w:pgSz w:w="11900" w:h="16838" w:orient="portrait"/>
          <w:cols w:equalWidth="0" w:num="2">
            <w:col w:w="7440" w:space="720"/>
            <w:col w:w="3060"/>
          </w:cols>
          <w:pgMar w:left="320" w:top="945" w:right="35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00" w:lineRule="exact"/>
        <w:rPr>
          <w:sz w:val="24"/>
          <w:szCs w:val="24"/>
          <w:color w:val="auto"/>
        </w:rPr>
      </w:pPr>
    </w:p>
    <w:p>
      <w:pPr>
        <w:sectPr>
          <w:pgSz w:w="11900" w:h="16838" w:orient="portrait"/>
          <w:cols w:equalWidth="0" w:num="2">
            <w:col w:w="7400" w:space="720"/>
            <w:col w:w="3100"/>
          </w:cols>
          <w:pgMar w:left="320" w:top="945" w:right="359" w:bottom="1440" w:gutter="0" w:footer="0" w:header="0"/>
          <w:type w:val="continuous"/>
        </w:sectPr>
      </w:pP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864 Spring Street NW</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Atlanta, GA 30308</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ectPr>
          <w:pgSz w:w="11900" w:h="16838" w:orient="portrait"/>
          <w:cols w:equalWidth="0" w:num="1">
            <w:col w:w="11220"/>
          </w:cols>
          <w:pgMar w:left="320" w:top="945" w:right="359" w:bottom="1440" w:gutter="0" w:footer="0" w:header="0"/>
          <w:type w:val="continuous"/>
        </w:sectPr>
      </w:pPr>
    </w:p>
    <w:p>
      <w:pPr>
        <w:spacing w:after="0" w:line="1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(800) 225-5627</w:t>
      </w:r>
    </w:p>
    <w:p>
      <w:pPr>
        <w:spacing w:after="0" w:line="14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ind w:left="160" w:hanging="157"/>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160" w:hanging="157"/>
        <w:spacing w:after="0" w:line="230"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ind w:left="160" w:hanging="157"/>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6" w:lineRule="exact"/>
        <w:rPr>
          <w:rFonts w:ascii="MS PGothic" w:cs="MS PGothic" w:eastAsia="MS PGothic" w:hAnsi="MS PGothic"/>
          <w:sz w:val="14"/>
          <w:szCs w:val="14"/>
          <w:color w:val="auto"/>
        </w:rPr>
      </w:pPr>
    </w:p>
    <w:p>
      <w:pPr>
        <w:ind w:left="160" w:hanging="157"/>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945" w:right="359" w:bottom="1440" w:gutter="0" w:footer="0" w:header="0"/>
          <w:type w:val="continuous"/>
        </w:sectPr>
      </w:pPr>
    </w:p>
    <w:p>
      <w:pPr>
        <w:spacing w:after="0" w:line="29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82" w:lineRule="exact"/>
        <w:rPr>
          <w:sz w:val="24"/>
          <w:szCs w:val="24"/>
          <w:color w:val="auto"/>
        </w:rPr>
      </w:pPr>
    </w:p>
    <w:p>
      <w:pPr>
        <w:sectPr>
          <w:pgSz w:w="11900" w:h="16838" w:orient="portrait"/>
          <w:cols w:equalWidth="0" w:num="3">
            <w:col w:w="4400" w:space="720"/>
            <w:col w:w="2000" w:space="720"/>
            <w:col w:w="3380"/>
          </w:cols>
          <w:pgMar w:left="320" w:top="945" w:right="3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80" w:lineRule="exact"/>
        <w:rPr>
          <w:sz w:val="24"/>
          <w:szCs w:val="24"/>
          <w:color w:val="auto"/>
        </w:rPr>
      </w:pPr>
    </w:p>
    <w:p>
      <w:pPr>
        <w:sectPr>
          <w:pgSz w:w="11900" w:h="16838" w:orient="portrait"/>
          <w:cols w:equalWidth="0" w:num="3">
            <w:col w:w="4900" w:space="720"/>
            <w:col w:w="2160" w:space="720"/>
            <w:col w:w="2720"/>
          </w:cols>
          <w:pgMar w:left="320" w:top="945"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Indicate by check mark whether the registrant is an emerging growth company as defined in Rule 405 of the Securities Act of 1933 (§230.405 of this chapter) or Rule 12b-2 of the Securities</w:t>
      </w:r>
    </w:p>
    <w:p>
      <w:pPr>
        <w:spacing w:after="0" w:line="33" w:lineRule="exact"/>
        <w:rPr>
          <w:sz w:val="24"/>
          <w:szCs w:val="24"/>
          <w:color w:val="auto"/>
        </w:rPr>
      </w:pPr>
    </w:p>
    <w:p>
      <w:pPr>
        <w:ind w:left="3100"/>
        <w:spacing w:after="0" w:line="161" w:lineRule="exact"/>
        <w:tabs>
          <w:tab w:leader="none" w:pos="6360" w:val="left"/>
        </w:tabs>
        <w:rPr>
          <w:sz w:val="20"/>
          <w:szCs w:val="20"/>
          <w:color w:val="auto"/>
        </w:rPr>
      </w:pPr>
      <w:r>
        <w:rPr>
          <w:rFonts w:ascii="Times New Roman" w:cs="Times New Roman" w:eastAsia="Times New Roman" w:hAnsi="Times New Roman"/>
          <w:sz w:val="14"/>
          <w:szCs w:val="14"/>
          <w:b w:val="1"/>
          <w:bCs w:val="1"/>
          <w:color w:val="auto"/>
        </w:rPr>
        <w:t>Exchange Act of 1934 (§240.12b-2 of this chapter).</w:t>
      </w:r>
      <w:r>
        <w:rPr>
          <w:sz w:val="20"/>
          <w:szCs w:val="20"/>
          <w:color w:val="auto"/>
        </w:rPr>
        <w:tab/>
      </w:r>
      <w:r>
        <w:rPr>
          <w:rFonts w:ascii="Times New Roman" w:cs="Times New Roman" w:eastAsia="Times New Roman" w:hAnsi="Times New Roman"/>
          <w:sz w:val="13"/>
          <w:szCs w:val="13"/>
          <w:b w:val="1"/>
          <w:bCs w:val="1"/>
          <w:color w:val="auto"/>
        </w:rPr>
        <w:t xml:space="preserve">Emerging growth company </w:t>
      </w:r>
      <w:r>
        <w:rPr>
          <w:rFonts w:ascii="MS PGothic" w:cs="MS PGothic" w:eastAsia="MS PGothic" w:hAnsi="MS PGothic"/>
          <w:sz w:val="13"/>
          <w:szCs w:val="13"/>
          <w:color w:val="auto"/>
        </w:rPr>
        <w:t>☐</w:t>
      </w:r>
    </w:p>
    <w:p>
      <w:pPr>
        <w:spacing w:after="0" w:line="262" w:lineRule="exact"/>
        <w:rPr>
          <w:sz w:val="24"/>
          <w:szCs w:val="24"/>
          <w:color w:val="auto"/>
        </w:rPr>
      </w:pPr>
    </w:p>
    <w:p>
      <w:pPr>
        <w:ind w:right="38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509270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Item 2.02.</w:t>
      </w:r>
      <w:r>
        <w:rPr>
          <w:sz w:val="20"/>
          <w:szCs w:val="20"/>
          <w:color w:val="auto"/>
        </w:rPr>
        <w:tab/>
      </w:r>
      <w:r>
        <w:rPr>
          <w:rFonts w:ascii="Times New Roman" w:cs="Times New Roman" w:eastAsia="Times New Roman" w:hAnsi="Times New Roman"/>
          <w:sz w:val="20"/>
          <w:szCs w:val="20"/>
          <w:b w:val="1"/>
          <w:bCs w:val="1"/>
          <w:color w:val="auto"/>
        </w:rPr>
        <w:t>Results of Operations and Financial Condition.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On May 7, 2026, NCR Voyix Corporation (the “Company”) issued a press release announcing its financial results for the quarter ended March 31, 2026. A copy of the press release is furnished as Exhibit 99.1 to this Current Report on Form 8-K (this “Report”) and is incorporated herein by reference.</w:t>
      </w:r>
    </w:p>
    <w:p>
      <w:pPr>
        <w:spacing w:after="0" w:line="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Item 7.01.</w:t>
      </w:r>
      <w:r>
        <w:rPr>
          <w:sz w:val="20"/>
          <w:szCs w:val="20"/>
          <w:color w:val="auto"/>
        </w:rPr>
        <w:tab/>
      </w:r>
      <w:r>
        <w:rPr>
          <w:rFonts w:ascii="Times New Roman" w:cs="Times New Roman" w:eastAsia="Times New Roman" w:hAnsi="Times New Roman"/>
          <w:sz w:val="20"/>
          <w:szCs w:val="20"/>
          <w:b w:val="1"/>
          <w:bCs w:val="1"/>
          <w:color w:val="auto"/>
        </w:rPr>
        <w:t>Regulation FD Disclosure.</w:t>
      </w:r>
    </w:p>
    <w:p>
      <w:pPr>
        <w:spacing w:after="0" w:line="1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There will be a conference call at 8:00 a.m. (Eastern) on May 7, 2026, during which management will discuss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s financial results for the quarter ended March 31, 2026.</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information in this Report (including Exhibit 99.1) is being furnished pursuant to Item 2.02 and Item 7.01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w:t>
      </w:r>
    </w:p>
    <w:p>
      <w:pPr>
        <w:spacing w:after="0" w:line="6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1"/>
          <w:szCs w:val="21"/>
          <w:b w:val="1"/>
          <w:bCs w:val="1"/>
          <w:color w:val="auto"/>
        </w:rPr>
        <w:t>Item 9.01.</w:t>
      </w:r>
      <w:r>
        <w:rPr>
          <w:sz w:val="20"/>
          <w:szCs w:val="20"/>
          <w:color w:val="auto"/>
        </w:rPr>
        <w:tab/>
      </w:r>
      <w:r>
        <w:rPr>
          <w:rFonts w:ascii="Times New Roman" w:cs="Times New Roman" w:eastAsia="Times New Roman" w:hAnsi="Times New Roman"/>
          <w:sz w:val="20"/>
          <w:szCs w:val="20"/>
          <w:b w:val="1"/>
          <w:bCs w:val="1"/>
          <w:color w:val="auto"/>
        </w:rPr>
        <w:t>Financial Statements and Exhibits.</w:t>
      </w:r>
    </w:p>
    <w:p>
      <w:pPr>
        <w:spacing w:after="0" w:line="240" w:lineRule="exact"/>
        <w:rPr>
          <w:sz w:val="20"/>
          <w:szCs w:val="20"/>
          <w:color w:val="auto"/>
        </w:rPr>
      </w:pPr>
    </w:p>
    <w:p>
      <w:pPr>
        <w:ind w:left="460" w:hanging="457"/>
        <w:spacing w:after="0"/>
        <w:tabs>
          <w:tab w:leader="none" w:pos="4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exhibits are attached with this current report on Form 8-K:</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 No.</w:t>
            </w:r>
          </w:p>
        </w:tc>
        <w:tc>
          <w:tcPr>
            <w:tcW w:w="95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Description</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99.1</w:t>
            </w:r>
          </w:p>
        </w:tc>
        <w:tc>
          <w:tcPr>
            <w:tcW w:w="720" w:type="dxa"/>
            <w:vAlign w:val="bottom"/>
          </w:tcPr>
          <w:p>
            <w:pPr>
              <w:spacing w:after="0"/>
              <w:rPr>
                <w:sz w:val="20"/>
                <w:szCs w:val="20"/>
                <w:color w:val="auto"/>
              </w:rPr>
            </w:pPr>
          </w:p>
        </w:tc>
        <w:tc>
          <w:tcPr>
            <w:tcW w:w="4760" w:type="dxa"/>
            <w:vAlign w:val="bottom"/>
            <w:tcBorders>
              <w:bottom w:val="single" w:sz="8" w:color="0000FF"/>
            </w:tcBorders>
            <w:gridSpan w:val="2"/>
          </w:tcPr>
          <w:p>
            <w:pPr>
              <w:spacing w:after="0" w:line="238" w:lineRule="exact"/>
              <w:rPr>
                <w:sz w:val="20"/>
                <w:szCs w:val="20"/>
                <w:color w:val="auto"/>
              </w:rPr>
            </w:pPr>
            <w:r>
              <w:rPr>
                <w:rFonts w:ascii="Times New Roman" w:cs="Times New Roman" w:eastAsia="Times New Roman" w:hAnsi="Times New Roman"/>
                <w:sz w:val="21"/>
                <w:szCs w:val="21"/>
                <w:color w:val="0000FF"/>
                <w:w w:val="97"/>
              </w:rPr>
              <w:t>Press Release issued by the Company, dated May 7, 2026</w:t>
            </w:r>
          </w:p>
        </w:tc>
        <w:tc>
          <w:tcPr>
            <w:tcW w:w="4780" w:type="dxa"/>
            <w:vAlign w:val="bottom"/>
          </w:tcPr>
          <w:p>
            <w:pPr>
              <w:spacing w:after="0"/>
              <w:rPr>
                <w:sz w:val="20"/>
                <w:szCs w:val="20"/>
                <w:color w:val="auto"/>
              </w:rPr>
            </w:pPr>
          </w:p>
        </w:tc>
      </w:tr>
      <w:tr>
        <w:trPr>
          <w:trHeight w:val="287"/>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104</w:t>
            </w:r>
          </w:p>
        </w:tc>
        <w:tc>
          <w:tcPr>
            <w:tcW w:w="7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Cover Page Interactive Data File (embedded within the Inline XBRL document)</w:t>
            </w:r>
          </w:p>
        </w:tc>
      </w:tr>
      <w:tr>
        <w:trPr>
          <w:trHeight w:val="1014"/>
        </w:trPr>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12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NCR Voyix Corporation</w:t>
      </w:r>
    </w:p>
    <w:p>
      <w:pPr>
        <w:spacing w:after="0" w:line="223" w:lineRule="exact"/>
        <w:rPr>
          <w:sz w:val="20"/>
          <w:szCs w:val="20"/>
          <w:color w:val="auto"/>
        </w:rPr>
      </w:pPr>
    </w:p>
    <w:p>
      <w:pPr>
        <w:ind w:left="6120"/>
        <w:spacing w:after="0"/>
        <w:tabs>
          <w:tab w:leader="none" w:pos="6720" w:val="left"/>
        </w:tabs>
        <w:rPr>
          <w:sz w:val="20"/>
          <w:szCs w:val="20"/>
          <w:color w:val="auto"/>
        </w:rPr>
      </w:pPr>
      <w:r>
        <w:rPr>
          <w:rFonts w:ascii="Times New Roman" w:cs="Times New Roman" w:eastAsia="Times New Roman" w:hAnsi="Times New Roman"/>
          <w:sz w:val="21"/>
          <w:szCs w:val="21"/>
          <w:color w:val="auto"/>
        </w:rPr>
        <w:t>By:</w:t>
        <w:tab/>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18415</wp:posOffset>
            </wp:positionV>
            <wp:extent cx="2865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Brian Webb-Walsh</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7, 2026</w:t>
      </w:r>
    </w:p>
    <w:p>
      <w:pPr>
        <w:sectPr>
          <w:pgSz w:w="11900" w:h="16838" w:orient="portrait"/>
          <w:cols w:equalWidth="0" w:num="1">
            <w:col w:w="11220"/>
          </w:cols>
          <w:pgMar w:left="320" w:top="129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17272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27200" cy="5403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NEWS RELEASE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NCR Voyix Reports First Quarter 2026 Results</w:t>
      </w:r>
    </w:p>
    <w:p>
      <w:pPr>
        <w:spacing w:after="0" w:line="200" w:lineRule="exact"/>
        <w:rPr>
          <w:sz w:val="20"/>
          <w:szCs w:val="20"/>
          <w:color w:val="auto"/>
        </w:rPr>
      </w:pPr>
    </w:p>
    <w:p>
      <w:pPr>
        <w:spacing w:after="0" w:line="28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ATLANTA, May 7, 2026 </w:t>
      </w:r>
      <w:r>
        <w:rPr>
          <w:rFonts w:ascii="Times New Roman" w:cs="Times New Roman" w:eastAsia="Times New Roman" w:hAnsi="Times New Roman"/>
          <w:sz w:val="19"/>
          <w:szCs w:val="19"/>
          <w:color w:val="auto"/>
        </w:rPr>
        <w:t>- NCR Voyix Corporation (NYSE: VYX) (“NCR Voyix” or the “Company”), a platform-powered leader in unified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commerce for shopping and dining, reported financial results today for the three months ended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First Quarter Financial Highlights</w:t>
      </w:r>
    </w:p>
    <w:p>
      <w:pPr>
        <w:spacing w:after="0" w:line="23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 was $606 million compared to $612 million in the prior year period.</w:t>
      </w:r>
    </w:p>
    <w:p>
      <w:pPr>
        <w:spacing w:after="0" w:line="25" w:lineRule="exact"/>
        <w:rPr>
          <w:rFonts w:ascii="Times New Roman" w:cs="Times New Roman" w:eastAsia="Times New Roman" w:hAnsi="Times New Roman"/>
          <w:sz w:val="19"/>
          <w:szCs w:val="19"/>
          <w:color w:val="auto"/>
        </w:rPr>
      </w:pPr>
    </w:p>
    <w:p>
      <w:pPr>
        <w:ind w:left="620" w:hanging="307"/>
        <w:spacing w:after="0" w:line="247"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 from continuing operations attributable to NCR Voyix was $2 million, compared with a net loss from continuing operations attributable to NCR Voyix of $21 million in the prior year period.</w:t>
      </w:r>
    </w:p>
    <w:p>
      <w:pPr>
        <w:spacing w:after="0" w:line="1"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Diluted EPS from continuing operations was $(0.04) compared to $(0.18) in the prior year period.</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was $78 million compared to $74 million in the prior year period.</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Non-GAAP diluted EPS was $0.10 compared to $0.08 in the prior year period.</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Software &amp; Services Revenue was $472 million compared to $475 million in the prior year period.</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Recurring revenue was $419 million compared to $404 million in the prior year period.</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Recurring software revenue was $199 million compared to $192 million in the prior year period.</w:t>
      </w:r>
    </w:p>
    <w:p>
      <w:pPr>
        <w:spacing w:after="0" w:line="233" w:lineRule="exact"/>
        <w:rPr>
          <w:sz w:val="20"/>
          <w:szCs w:val="20"/>
          <w:color w:val="auto"/>
        </w:rPr>
      </w:pPr>
    </w:p>
    <w:p>
      <w:pPr>
        <w:jc w:val="both"/>
        <w:spacing w:after="0" w:line="234" w:lineRule="exact"/>
        <w:rPr>
          <w:sz w:val="20"/>
          <w:szCs w:val="20"/>
          <w:color w:val="auto"/>
        </w:rPr>
      </w:pPr>
      <w:r>
        <w:rPr>
          <w:rFonts w:ascii="Times New Roman" w:cs="Times New Roman" w:eastAsia="Times New Roman" w:hAnsi="Times New Roman"/>
          <w:sz w:val="19"/>
          <w:szCs w:val="19"/>
          <w:color w:val="auto"/>
        </w:rPr>
        <w:t>“We are pleased with our start to 2026, highlighted by improving financial performance, strong customer engagement, and continued progress in executing our strategy. We also took important steps to further simplify and focus the business, including completing the hardware business transition and continuing to optimize our portfolio through the sale of our remaining Japanese bank technology business,” said James G. Kelly, President and Chief Executive Officer. “Demand for our Voyix Commerce Platform applications remains strong, underscored by new customer wins and expanding interest from retailers and restaurants globally. As we continue to modernize commerce through software, payments, and services, we remain focused on execution and delivering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value for our customers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color w:val="auto"/>
        </w:rPr>
        <w:t>Recent Business Highlights and Additional Information</w:t>
      </w:r>
    </w:p>
    <w:p>
      <w:pPr>
        <w:spacing w:after="0" w:line="250" w:lineRule="exact"/>
        <w:rPr>
          <w:sz w:val="20"/>
          <w:szCs w:val="20"/>
          <w:color w:val="auto"/>
        </w:rPr>
      </w:pPr>
    </w:p>
    <w:p>
      <w:pPr>
        <w:jc w:val="both"/>
        <w:ind w:left="620" w:hanging="307"/>
        <w:spacing w:after="0" w:line="252"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Remaining Contract Value for the Company’s Voyix Commerce Platform applications was approximately $293 million as of March 31, 2026, an increase of nearly 75% compared to the prior year and 15% sequentially. New customer contracts represented 13% of the Remaining Contract Value at the end of the quarter.</w:t>
      </w:r>
    </w:p>
    <w:p>
      <w:pPr>
        <w:spacing w:after="0" w:line="2" w:lineRule="exact"/>
        <w:rPr>
          <w:rFonts w:ascii="Times New Roman" w:cs="Times New Roman" w:eastAsia="Times New Roman" w:hAnsi="Times New Roman"/>
          <w:sz w:val="19"/>
          <w:szCs w:val="19"/>
          <w:color w:val="auto"/>
        </w:rPr>
      </w:pPr>
    </w:p>
    <w:p>
      <w:pPr>
        <w:ind w:left="620" w:hanging="307"/>
        <w:spacing w:after="0" w:line="250"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had 83,000 platform sites and more than 8,500 payment sites as of March 31, 2026, an increase of 7% and 3%, respectively, from the prior year.</w:t>
      </w:r>
    </w:p>
    <w:p>
      <w:pPr>
        <w:spacing w:after="0" w:line="1"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repurchased $9 million of common stock in the first quarter.</w:t>
      </w:r>
    </w:p>
    <w:p>
      <w:pPr>
        <w:spacing w:after="0" w:line="8" w:lineRule="exact"/>
        <w:rPr>
          <w:rFonts w:ascii="Times New Roman" w:cs="Times New Roman" w:eastAsia="Times New Roman" w:hAnsi="Times New Roman"/>
          <w:sz w:val="19"/>
          <w:szCs w:val="19"/>
          <w:color w:val="auto"/>
        </w:rPr>
      </w:pPr>
    </w:p>
    <w:p>
      <w:pPr>
        <w:ind w:left="620" w:hanging="307"/>
        <w:spacing w:after="0" w:line="247"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April 2026, the Company signed a new platform contract with Stater Bros. Markets, a regional grocery chain with 165 stores across Southern California, to implement Voyix POS and Voyix Connect.</w:t>
      </w:r>
    </w:p>
    <w:p>
      <w:pPr>
        <w:spacing w:after="0" w:line="1" w:lineRule="exact"/>
        <w:rPr>
          <w:rFonts w:ascii="Times New Roman" w:cs="Times New Roman" w:eastAsia="Times New Roman" w:hAnsi="Times New Roman"/>
          <w:sz w:val="19"/>
          <w:szCs w:val="19"/>
          <w:color w:val="auto"/>
        </w:rPr>
      </w:pPr>
    </w:p>
    <w:p>
      <w:pPr>
        <w:ind w:left="620" w:hanging="307"/>
        <w:spacing w:after="0" w:line="250"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March 2026, the Company announced it had signed a new five-year platform agreement with Pilot, the largest travel center operator in North America, in which Pilot will deploy Voyix POS for CFR along with a suite of additional platform capabilities.</w:t>
      </w:r>
    </w:p>
    <w:p>
      <w:pPr>
        <w:spacing w:after="0" w:line="1" w:lineRule="exact"/>
        <w:rPr>
          <w:rFonts w:ascii="Times New Roman" w:cs="Times New Roman" w:eastAsia="Times New Roman" w:hAnsi="Times New Roman"/>
          <w:sz w:val="19"/>
          <w:szCs w:val="19"/>
          <w:color w:val="auto"/>
        </w:rPr>
      </w:pPr>
    </w:p>
    <w:p>
      <w:pPr>
        <w:ind w:left="620" w:hanging="307"/>
        <w:spacing w:after="0" w:line="247"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March 2026, the Company entered into an agreement to sell its bank technology solutions business in Japan, the last remaining non-core asset following the spin-off in 2023. The transaction is expected to close by the end of 2026.</w:t>
      </w:r>
    </w:p>
    <w:p>
      <w:pPr>
        <w:spacing w:after="0" w:line="1" w:lineRule="exact"/>
        <w:rPr>
          <w:rFonts w:ascii="Times New Roman" w:cs="Times New Roman" w:eastAsia="Times New Roman" w:hAnsi="Times New Roman"/>
          <w:sz w:val="19"/>
          <w:szCs w:val="19"/>
          <w:color w:val="auto"/>
        </w:rPr>
      </w:pPr>
    </w:p>
    <w:p>
      <w:pPr>
        <w:jc w:val="both"/>
        <w:ind w:left="620" w:hanging="307"/>
        <w:spacing w:after="0" w:line="255"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first quarter, the Company completed the Hardware Business Transition with Ennoconn. Beginning on April 1, 2026, the Company began recording commission revenue from point-of-sale and self-checkout hardware sales as an agent for Ennoconn on a net basis, excluding the costs paid to Ennoconn.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8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color w:val="auto"/>
        </w:rPr>
        <w:t>2026 Outlook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full-year 2026, the Company is updating its outlook to reflect the divestiture of its Japan bank technology solutions business:</w:t>
      </w:r>
      <w:r>
        <w:rPr>
          <w:rFonts w:ascii="Times New Roman" w:cs="Times New Roman" w:eastAsia="Times New Roman" w:hAnsi="Times New Roman"/>
          <w:sz w:val="24"/>
          <w:szCs w:val="24"/>
          <w:color w:val="auto"/>
          <w:vertAlign w:val="superscript"/>
        </w:rPr>
        <w:t>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860" w:type="dxa"/>
            <w:vAlign w:val="bottom"/>
          </w:tcPr>
          <w:p>
            <w:pPr>
              <w:spacing w:after="0"/>
              <w:rPr>
                <w:sz w:val="20"/>
                <w:szCs w:val="20"/>
                <w:color w:val="auto"/>
              </w:rPr>
            </w:pPr>
            <w:r>
              <w:rPr>
                <w:rFonts w:ascii="Times New Roman" w:cs="Times New Roman" w:eastAsia="Times New Roman" w:hAnsi="Times New Roman"/>
                <w:sz w:val="17"/>
                <w:szCs w:val="17"/>
                <w:i w:val="1"/>
                <w:iCs w:val="1"/>
                <w:color w:val="1B1E1F"/>
              </w:rPr>
              <w:t>$ in millions (except EPS)</w:t>
            </w:r>
          </w:p>
        </w:tc>
        <w:tc>
          <w:tcPr>
            <w:tcW w:w="3140" w:type="dxa"/>
            <w:vAlign w:val="bottom"/>
            <w:gridSpan w:val="2"/>
          </w:tcPr>
          <w:p>
            <w:pPr>
              <w:ind w:left="1720"/>
              <w:spacing w:after="0"/>
              <w:rPr>
                <w:sz w:val="20"/>
                <w:szCs w:val="20"/>
                <w:color w:val="auto"/>
              </w:rPr>
            </w:pPr>
            <w:r>
              <w:rPr>
                <w:rFonts w:ascii="Times New Roman" w:cs="Times New Roman" w:eastAsia="Times New Roman" w:hAnsi="Times New Roman"/>
                <w:sz w:val="19"/>
                <w:szCs w:val="19"/>
                <w:b w:val="1"/>
                <w:bCs w:val="1"/>
                <w:color w:val="1B1E1F"/>
              </w:rPr>
              <w:t>Range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1B1E1F"/>
              </w:rPr>
              <w:t>YoY % Change</w:t>
            </w:r>
          </w:p>
        </w:tc>
      </w:tr>
      <w:tr>
        <w:trPr>
          <w:trHeight w:val="258"/>
        </w:trPr>
        <w:tc>
          <w:tcPr>
            <w:tcW w:w="5860" w:type="dxa"/>
            <w:vAlign w:val="bottom"/>
          </w:tcPr>
          <w:p>
            <w:pPr>
              <w:spacing w:after="0" w:line="258" w:lineRule="exact"/>
              <w:rPr>
                <w:sz w:val="20"/>
                <w:szCs w:val="20"/>
                <w:color w:val="auto"/>
              </w:rPr>
            </w:pPr>
            <w:r>
              <w:rPr>
                <w:rFonts w:ascii="Times New Roman" w:cs="Times New Roman" w:eastAsia="Times New Roman" w:hAnsi="Times New Roman"/>
                <w:sz w:val="19"/>
                <w:szCs w:val="19"/>
                <w:color w:val="1B1E1F"/>
              </w:rPr>
              <w:t>Revenue</w:t>
            </w:r>
            <w:r>
              <w:rPr>
                <w:rFonts w:ascii="Times New Roman" w:cs="Times New Roman" w:eastAsia="Times New Roman" w:hAnsi="Times New Roman"/>
                <w:sz w:val="24"/>
                <w:szCs w:val="24"/>
                <w:color w:val="1B1E1F"/>
                <w:vertAlign w:val="superscript"/>
              </w:rPr>
              <w:t>2</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$2,188</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$2,303</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(18%)</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(13%)</w:t>
            </w:r>
          </w:p>
        </w:tc>
      </w:tr>
      <w:tr>
        <w:trPr>
          <w:trHeight w:val="258"/>
        </w:trPr>
        <w:tc>
          <w:tcPr>
            <w:tcW w:w="5860" w:type="dxa"/>
            <w:vAlign w:val="bottom"/>
          </w:tcPr>
          <w:p>
            <w:pPr>
              <w:spacing w:after="0" w:line="258" w:lineRule="exact"/>
              <w:rPr>
                <w:sz w:val="20"/>
                <w:szCs w:val="20"/>
                <w:color w:val="auto"/>
              </w:rPr>
            </w:pPr>
            <w:r>
              <w:rPr>
                <w:rFonts w:ascii="Times New Roman" w:cs="Times New Roman" w:eastAsia="Times New Roman" w:hAnsi="Times New Roman"/>
                <w:sz w:val="19"/>
                <w:szCs w:val="19"/>
                <w:color w:val="1B1E1F"/>
              </w:rPr>
              <w:t>Pro Forma for Hardware Transition Impact</w:t>
            </w:r>
            <w:r>
              <w:rPr>
                <w:rFonts w:ascii="Times New Roman" w:cs="Times New Roman" w:eastAsia="Times New Roman" w:hAnsi="Times New Roman"/>
                <w:sz w:val="24"/>
                <w:szCs w:val="24"/>
                <w:color w:val="1B1E1F"/>
                <w:vertAlign w:val="superscript"/>
              </w:rPr>
              <w:t>2</w:t>
            </w:r>
          </w:p>
        </w:tc>
        <w:tc>
          <w:tcPr>
            <w:tcW w:w="1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20" w:type="dxa"/>
            <w:vAlign w:val="bottom"/>
            <w:gridSpan w:val="2"/>
          </w:tcPr>
          <w:p>
            <w:pPr>
              <w:jc w:val="right"/>
              <w:ind w:right="146"/>
              <w:spacing w:after="0"/>
              <w:rPr>
                <w:sz w:val="20"/>
                <w:szCs w:val="20"/>
                <w:color w:val="auto"/>
              </w:rPr>
            </w:pPr>
            <w:r>
              <w:rPr>
                <w:rFonts w:ascii="Times New Roman" w:cs="Times New Roman" w:eastAsia="Times New Roman" w:hAnsi="Times New Roman"/>
                <w:sz w:val="19"/>
                <w:szCs w:val="19"/>
                <w:color w:val="1B1E1F"/>
              </w:rPr>
              <w:t>(2%) - 3%</w:t>
            </w:r>
          </w:p>
        </w:tc>
      </w:tr>
      <w:tr>
        <w:trPr>
          <w:trHeight w:val="244"/>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1B1E1F"/>
              </w:rPr>
              <w:t>Adjusted EBITDA</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$432</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$447</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- 7%</w:t>
            </w:r>
          </w:p>
        </w:tc>
      </w:tr>
      <w:tr>
        <w:trPr>
          <w:trHeight w:val="271"/>
        </w:trPr>
        <w:tc>
          <w:tcPr>
            <w:tcW w:w="5860" w:type="dxa"/>
            <w:vAlign w:val="bottom"/>
          </w:tcPr>
          <w:p>
            <w:pPr>
              <w:spacing w:after="0" w:line="271" w:lineRule="exact"/>
              <w:rPr>
                <w:sz w:val="20"/>
                <w:szCs w:val="20"/>
                <w:color w:val="auto"/>
              </w:rPr>
            </w:pPr>
            <w:r>
              <w:rPr>
                <w:rFonts w:ascii="Times New Roman" w:cs="Times New Roman" w:eastAsia="Times New Roman" w:hAnsi="Times New Roman"/>
                <w:sz w:val="19"/>
                <w:szCs w:val="19"/>
                <w:color w:val="1B1E1F"/>
              </w:rPr>
              <w:t>Non-GAAP Diluted EPS</w:t>
            </w:r>
            <w:r>
              <w:rPr>
                <w:rFonts w:ascii="Times New Roman" w:cs="Times New Roman" w:eastAsia="Times New Roman" w:hAnsi="Times New Roman"/>
                <w:sz w:val="24"/>
                <w:szCs w:val="24"/>
                <w:color w:val="1B1E1F"/>
                <w:vertAlign w:val="superscript"/>
              </w:rPr>
              <w:t>3</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$0.89</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$0.92</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- 7%</w:t>
            </w:r>
          </w:p>
        </w:tc>
      </w:tr>
      <w:tr>
        <w:trPr>
          <w:trHeight w:val="244"/>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1B1E1F"/>
              </w:rPr>
              <w:t>Adjusted Free Cash Flow- unrestricted before restructuring</w:t>
            </w: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$190</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$220</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40%</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- 62%</w:t>
            </w:r>
          </w:p>
        </w:tc>
      </w:tr>
    </w:tbl>
    <w:p>
      <w:pPr>
        <w:spacing w:after="0" w:line="78" w:lineRule="exact"/>
        <w:rPr>
          <w:sz w:val="20"/>
          <w:szCs w:val="20"/>
          <w:color w:val="auto"/>
        </w:rPr>
      </w:pPr>
    </w:p>
    <w:p>
      <w:pPr>
        <w:jc w:val="both"/>
        <w:ind w:firstLine="3"/>
        <w:spacing w:after="0" w:line="216" w:lineRule="auto"/>
        <w:tabs>
          <w:tab w:leader="none" w:pos="67"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Japan bank technology solutions business was classified as discontinued operations when the Company entered into the agreement to sell the business in March 2026. Results from this business are excluded from prior year and current period results. The Company's 2026 outlook has been updated to exclude approximately $22 million of revenue, $8 million of EBITDA and $0.04 of earnings per share related to the Japan bank technology business.</w:t>
      </w:r>
    </w:p>
    <w:p>
      <w:pPr>
        <w:spacing w:after="0" w:line="2" w:lineRule="exact"/>
        <w:rPr>
          <w:rFonts w:ascii="Times New Roman" w:cs="Times New Roman" w:eastAsia="Times New Roman" w:hAnsi="Times New Roman"/>
          <w:sz w:val="18"/>
          <w:szCs w:val="18"/>
          <w:color w:val="auto"/>
          <w:vertAlign w:val="superscript"/>
        </w:rPr>
      </w:pPr>
    </w:p>
    <w:p>
      <w:pPr>
        <w:jc w:val="both"/>
        <w:spacing w:after="0" w:line="214"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Revenue reflects gross hardware revenue recognition in the first quarter of 2026 and net sales commission revenue recognition for the remaining periods given the completion of the Hardware Business Transition at the end of Q1 2026. The year-over-year change of (13%) - (18%) reflects the impact of the Hardware Business Transition for Q2 2026 through Q4 2026. To provide a better comparison of the Company’s ongoing performance, the pro forma year-over-year change of (2%) - 3% reflects a comparison to pro forma 2025 results, adjusted to apply the pro forma impact of the Hardware Business Transition in Q2 2025 through Q4 2025.</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3"/>
          <w:szCs w:val="13"/>
          <w:color w:val="auto"/>
        </w:rPr>
        <w:t>Non-GAAP Diluted EPS assumes an effective tax rate of 21% and full-year average diluted shares of 152 million inclusive of as-if converted preferred shares and dilutive options and RSU awards.</w:t>
      </w:r>
    </w:p>
    <w:p>
      <w:pPr>
        <w:spacing w:after="0" w:line="3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In this release, we use certain non-GAAP measures. These non-GAAP measures include “Adjusted EBITDA,” “Adjusted Free Cash Flow-Unrestricted,” “Non-GAAP Diluted EPS,” and others with the words “non-GAAP” in their titles. These non-GAAP measures are listed, described and reconciled for historic periods to their most directly comparable GAAP measures under the heading “Non-GAAP Financial Measures” later in this release. With respect to our outlook for full year 2026 for our Adjusted EBITDA, Non-GAAP Diluted EPS and Adjusted Free Cash Flow-Unrestricted, we do not provide a reconciliation to each of their most directly comparable GAAP measure because we are not able to predict with reasonable certainty the reconciling items that may affect the GAAP net income from continuing operations and GAAP cash flow provided by (used in) operating activities without unreasonable effort. The reconciling items are primarily the future impact of special tax items, capital structure transactions, restructuring, pension mark-to-market transactions, acquisitions or divestitures, or other events. These reconciling items are uncertain, depend on various factors and could significantly impact, either individually or in the aggregate, the GAAP measures. The Company also believes such reconciliations would imply a degree of precision that could be confusing or misleading to investors.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8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auto"/>
        </w:rPr>
        <w:t>Cautionary Statements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release contains “forward-looking statements” within the meaning of the Private Securities Litigation Reform Act of 1995 (the “Act”), Section 27A of the Securities Act of 1933, and Section 21E of the Securities Exchange Act of 1934. Forward-looking statements may appear throughout this release and can generally be identified by words such as “expect,” “target,” “anticipates,” “outlook,” “guidance,” “intend,” “plan,” “believe,” “will,” “should,” “would,” “potential,” “forecast,” “proposed,” “planned,” “objective,” “estimate,” “expected,” “likely,” “could,” “may,” and similar expressions referencing future events, conditions or circumstances. We intend for these forward-looking statements to be covered by the safe harbor provisions contained in the Act that are applicable to forward-looking statements. Examples of forward-looking statements include, without limitation, the Company’s plans, strategies, projections, future financial or operational results, events, trends, and economic and other future conditions. Forward-looking statements in this release include, without limitation, statements regarding: the Company’s expectations regarding our fiscal 2026 performance outlook; the Company’s plans, strategies, projections, future financial or operational results, events, trends, and economic and other future conditions; the Company’s plans, strategies, or objectives for future operations and offerings, including the Company’s suite of microservices-based applications, and its Voyix Commerce Platform; the expected benefits resulting from the Hardware Business Transition; the estimated or anticipated future results and benefits of the Company’s plans and operations; the Company’s expectations of demand for its solutions and service offerings and the impact thereof on the Company’s financial results in 2026; and statements regarding the Company’s ability to deliver increased value to customers and stockholders. Forward-looking statements are based solely on management’s current beliefs, expectations and assumptions, whether express or implied, regarding the future, which may prove to be inaccurate. Actual results could differ materially from expectations expressed or implied by such forward-looking statements due to a number of factors, such as the risks and uncertainties, including, but not limited to, the following: our ability to successfully execute our growth strategy; our ability to successfully develop new solutions that achieve market acceptance and keep pace with technological developments; our ability to maintain a consistently high level of customer service; our ability to achieve some or all of the expected benefits of our cost reduction initiatives; the success of our strategic relationships with third parties and our ability to integrate with third-party applications and software; risks related to tariffs, sanctions and trade barriers, and the related impact on macroeconomic conditions; the availability or applicability of tariff and duty exemptions to our products; the failure of our past or future acquisitions, divestitures and other strategic transactions to produce the anticipated results; our ability to perform under our agreements with NCR Atleos; potential indemnification obligations to NCR Atleos or a refusal of NCR Atleos to indemnify us pursuant to agreements executed in the spin-off; our ability to protect our systems and data from cybersecurity threats or other technological risks; risks related to evolving global laws and regulations relating to data privacy, data protection and information security; our ability to protect our intellectual property; extensive competition in our markets; disruptions in our data center hosting and public cloud facilities; risks related to defects, errors, installation difficulties or development delays; the failure of our artificial intelligence capabilities to operate as anticipated; our ability to maintain and update our information technology systems; changes in U.S. or foreign trade policies and domestic and global economic and credit conditions; risks related to geopolitical or armed conflicts in a region where we operate; our ability to retain key employees, or to recruit, develop and retain qualified employees; the inability of third party suppliers to fulfill our needs; risks related to our level or indebtedness; our ability to continue to access or renew financing sources and obtain capital; our failure to maintain effective internal control over financial reporting; and other factors included in “Item 1A-Risk Factors” of our most recent Annual Report on Form 10-K and in other documents that we file with the U.S. Securities and Exchange Commission (“SEC”), which we advise you to review.</w:t>
      </w:r>
    </w:p>
    <w:p>
      <w:pPr>
        <w:spacing w:after="0" w:line="200" w:lineRule="exact"/>
        <w:rPr>
          <w:sz w:val="20"/>
          <w:szCs w:val="20"/>
          <w:color w:val="auto"/>
        </w:rPr>
      </w:pP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58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b w:val="1"/>
          <w:bCs w:val="1"/>
          <w:color w:val="auto"/>
        </w:rPr>
        <w:t>Earnings Conference Call</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NCR Voyix management will host a conference call and live audio webcast today at 8:00 a.m. Eastern Time to discuss the Company’s results for the first quarter. Access to the webcast, along with supplemental financial information, are available on the Investor Relations section of the Company’s website at </w:t>
      </w:r>
      <w:r>
        <w:rPr>
          <w:rFonts w:ascii="Times New Roman" w:cs="Times New Roman" w:eastAsia="Times New Roman" w:hAnsi="Times New Roman"/>
          <w:sz w:val="18"/>
          <w:szCs w:val="18"/>
          <w:u w:val="single" w:color="auto"/>
          <w:color w:val="0000FF"/>
        </w:rPr>
        <w:t>https://investor.ncrvoyix.com</w:t>
      </w:r>
      <w:r>
        <w:rPr>
          <w:rFonts w:ascii="Times New Roman" w:cs="Times New Roman" w:eastAsia="Times New Roman" w:hAnsi="Times New Roman"/>
          <w:sz w:val="18"/>
          <w:szCs w:val="18"/>
          <w:color w:val="auto"/>
        </w:rPr>
        <w:t>. Participants may access the live call by dialing (800) 715-9871 (United States/Canada Toll-free) or +1</w:t>
      </w:r>
    </w:p>
    <w:p>
      <w:pPr>
        <w:spacing w:after="0" w:line="2" w:lineRule="exact"/>
        <w:rPr>
          <w:sz w:val="20"/>
          <w:szCs w:val="20"/>
          <w:color w:val="auto"/>
        </w:rPr>
      </w:pPr>
    </w:p>
    <w:p>
      <w:pPr>
        <w:ind w:firstLine="3"/>
        <w:spacing w:after="0" w:line="261" w:lineRule="auto"/>
        <w:tabs>
          <w:tab w:leader="none" w:pos="473"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307-1963 (International Toll) and requesting to be connected to the conference call. A replay of the audio webcast will be archived on the Company’s website following the live event.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NCR Voyix</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NCR Voyix Corporation (NYSE: VYX) is a global platform-powered leader in unified commerce for shopping and dining. Combining a flexible, intelligent platform with end-to-end payments capabilities and services developed through its deep industry experience, NCR Voyix empowers retailers and restaurants to accelerate new possibilities for their operations, experiences and business outcomes. NCR Voyix is headquartered in Atlanta, Georgia, and serves customers in more than 35 countries worldwide. For more information, visit ncrvoyix.com.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8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Non-GAAP Financial Measures. </w:t>
      </w:r>
      <w:r>
        <w:rPr>
          <w:rFonts w:ascii="Times New Roman" w:cs="Times New Roman" w:eastAsia="Times New Roman" w:hAnsi="Times New Roman"/>
          <w:sz w:val="17"/>
          <w:szCs w:val="17"/>
          <w:color w:val="auto"/>
        </w:rPr>
        <w:t>While the Company reports its results in accordance with Generally Accepted Accounting Principles in the United States,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GAAP, in this release the Company also uses the non-GAAP measures listed and described below. The Company’s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 and the Company encourages investors to review the non-GAAP information presented herein in conjunction with, and as a supplement to, the presentation of GAAP financial measures. Each potential adjustment noted below may not occur in each period presented but are included within the definitions as examples of potential future adjustments.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Adjusted Earnings Before Interest, Taxes, Depreciation and Amortization (Adjusted EBITDA) and Adjusted EBITDA margin. </w:t>
      </w:r>
      <w:r>
        <w:rPr>
          <w:rFonts w:ascii="Times New Roman" w:cs="Times New Roman" w:eastAsia="Times New Roman" w:hAnsi="Times New Roman"/>
          <w:sz w:val="17"/>
          <w:szCs w:val="17"/>
          <w:color w:val="auto"/>
        </w:rPr>
        <w:t>Adjusted EBITDA is defined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Company also uses Adjusted EBITDA margin, which is calculated based on Adjusted EBITDA as a percentage of total revenue. The Company uses Adjusted EBITDA and Adjusted EBITDA margin to evaluate and measure the ongoing performance of its business segments. The Company also uses Adjusted EBITDA and Adjusted EBITDA margin to manage and determine the effectiveness of its business managers and as a basis for incentive compensation. The Company believes that Adjusted EBITDA and Adjusted EBITDA margin provide useful information to investors because they are indicators of the strength and performance of the Company’s ongoing business operations, including its ability to fund discretionary spending such as capital expenditures, strategic acquisitions and other investments. Adjusted EBITDA and Adjusted EBITDA margin should not be considered as substitutes for, or superior to, net income from continuing operations attributable to NCR Voyix or net profit margin, respectively, under GAAP.</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Non-GAAP Diluted Earnings Per Share (EPS) and Non-GAAP income (loss) from continuing operations (attributable to NCR Voyix)</w:t>
      </w:r>
      <w:r>
        <w:rPr>
          <w:rFonts w:ascii="Times New Roman" w:cs="Times New Roman" w:eastAsia="Times New Roman" w:hAnsi="Times New Roman"/>
          <w:sz w:val="17"/>
          <w:szCs w:val="17"/>
          <w:color w:val="auto"/>
        </w:rPr>
        <w:t>. The Company determines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Non-GAAP Diluted EPS and Non-GAAP income (loss) from continuing operations (attributable to NCR Voyix) by excluding, as applicable, pension mark-to-market adjustments, pension settlements, pension curtailments and pension special termination benefits, as well as other special items, including loss (gain) on debt extinguishment, amortization of acquisition related intangibles, stock-based compensation expense, separation-related costs, cyber ransomware incident recovery costs net of recoveries, fraudulent ACH disbursements costs net of recoveries, strategic initiative costs, foreign currency devaluation costs, gains or losses related to the disposal of businesses, litigation costs, legal entity restructuring tax benefit and transformation and restructuring costs, from the Company’s GAAP earnings per share and income (loss) from continuing operations (attributable to NCR Voyix), respectively. Due to the non-operational nature of these pension and other special items, the Company’s management uses these non-GAAP measures to evaluate year-over-year operating performance. In addition, non-GAAP tax effects are calculated using an annual forecasted non-GAAP tax rate that excludes the impact of non-GAAP adjustments, with discrete tax impacts added separately for the period. The Company believes this measure is useful for investors because it provides a more complete understanding of the Company’s underlying operational performance, as well as consistency and comparability with the Company’s past reports of financial results.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Adjusted free cash flow-unrestricted before restructuring costs. </w:t>
      </w:r>
      <w:r>
        <w:rPr>
          <w:rFonts w:ascii="Times New Roman" w:cs="Times New Roman" w:eastAsia="Times New Roman" w:hAnsi="Times New Roman"/>
          <w:sz w:val="17"/>
          <w:szCs w:val="17"/>
          <w:color w:val="auto"/>
        </w:rPr>
        <w:t>NCR Voyix management uses the non-GAAP measure called “adjusted free cash flow-unrestricted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before restructuring costs” to assess the financial performance of the Company. We define adjusted free cash flow-unrestricted as net cash provided by (used in) operating activities less capital expenditures for property, plant and equipment and capitalized software, plus/minus collections of previously sold trade receivables purchased from third parties, restricted cash settlement activity, cash activity related to environmental discontinued operations, collections on non-operating receivables related to inventory sold for the Hardware Business Transition, plus acquisition-related items, and pension contributions and settlements, less restructuring, transformation and strategic initiative costs, and expected payments related to certain legal matters (net of recoveries from NCR Atleos).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believe adjusted free cash flow-unrestricted before restructuring costs provides useful information to investors because it relates the operating cash flows from the Company’s continuing and discontinued operations to the capital that is spent to continue and improve business operations. In particular, adjusted free cash flow-unrestricted before restructuring costs indicates the amount of cash available after capital expenditures for, among other things, investments in the Company’s existing businesses, strategic acquisitions, and repayment of debt obligations. Adjusted free cash flow-unrestricted before restructuring costs does not represent the residual cash flow available for discretionary expenditures, since there may be other non-discretionary expenditures that are not deducted from the measure. Adjusted free cash flow-unrestricted before restructuring costs does not have a uniform definition under GAAP, and therefore the Company’s definitions may differ from other companies’ definitions of these measures.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58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This non-GAAP measures should not be considered a substitute for, or superior to, cash flows from operating activities under GAAP or other GAAP measures.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Certain Terms</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term “recurring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 NCR Voyix’s management considers recurring revenue, and the other operating metrics derived therefrom, to be an important indicator of the predictability of revenue and part of our strategic plan.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 “Software &amp; Services Revenue” includes all software, services and payments revenue and excludes hardware revenue.</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term “Remaining Contract Value” or “RCV” is the total remaining value under contract with customers for the Company’s Voyix Commerce Platform applications that has not yet been recognized as revenue as of the end of the reporting period. RCV includes contract value for subscription periods that are cancellable by the customer, as the majority of our contracts are subject to termination provisions, including for convenience. There is no guarantee that the Company will be able to recognize the full amount of its RCV.</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 “platform sites” includes all sites for which we bill for use of our Commerce platform.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 “payment sites” includes all sites which utilizes NCR Voyix’s payment processing capabilities.</w:t>
      </w:r>
    </w:p>
    <w:p>
      <w:pPr>
        <w:spacing w:after="0" w:line="316"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7"/>
          <w:szCs w:val="17"/>
          <w:b w:val="1"/>
          <w:bCs w:val="1"/>
          <w:color w:val="auto"/>
        </w:rPr>
        <w:t>Reconciliation of Net Income (Loss) from Continuing Operations Attributable to NCR Voyix (GAAP) to Adjusted Earnings Before Interest, Depreciation, Taxes and Amortization (Adjusted EBITDA)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212"/>
        </w:trPr>
        <w:tc>
          <w:tcPr>
            <w:tcW w:w="8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 (GAAP)</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(excluding acquisition-related amortization of intangibles)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Transformation and restructuring costs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initiatives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Litigation costs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7"/>
                <w:szCs w:val="17"/>
                <w:color w:val="auto"/>
              </w:rPr>
              <w:t>7</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Diluted Earnings Per Share from Continuing Operations (GAAP)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Non-GAAP Diluted Earnings Per Share from Continuing Operations (Non-GAAP)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60"/>
        </w:trPr>
        <w:tc>
          <w:tcPr>
            <w:tcW w:w="8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40" w:type="dxa"/>
            <w:vAlign w:val="bottom"/>
          </w:tcPr>
          <w:p>
            <w:pPr>
              <w:spacing w:after="0"/>
              <w:rPr>
                <w:sz w:val="13"/>
                <w:szCs w:val="13"/>
                <w:color w:val="auto"/>
              </w:rPr>
            </w:pPr>
          </w:p>
        </w:tc>
        <w:tc>
          <w:tcPr>
            <w:tcW w:w="940" w:type="dxa"/>
            <w:vAlign w:val="bottom"/>
          </w:tcPr>
          <w:p>
            <w:pPr>
              <w:jc w:val="right"/>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898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b w:val="1"/>
                <w:bCs w:val="1"/>
                <w:color w:val="auto"/>
              </w:rPr>
              <w:t>Diluted Earnings Per Share from Continuing Operations (GAAP)</w:t>
            </w:r>
            <w:r>
              <w:rPr>
                <w:rFonts w:ascii="Times New Roman" w:cs="Times New Roman" w:eastAsia="Times New Roman" w:hAnsi="Times New Roman"/>
                <w:sz w:val="22"/>
                <w:szCs w:val="22"/>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Transformation and restructuring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initiatives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Litigation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98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Non-GAAP Diluted EPS</w:t>
            </w:r>
            <w:r>
              <w:rPr>
                <w:rFonts w:ascii="Times New Roman" w:cs="Times New Roman" w:eastAsia="Times New Roman" w:hAnsi="Times New Roman"/>
                <w:sz w:val="22"/>
                <w:szCs w:val="22"/>
                <w:b w:val="1"/>
                <w:bCs w:val="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0.10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0.08</w:t>
            </w:r>
          </w:p>
        </w:tc>
      </w:tr>
    </w:tbl>
    <w:p>
      <w:pPr>
        <w:spacing w:after="0" w:line="65" w:lineRule="exact"/>
        <w:rPr>
          <w:sz w:val="20"/>
          <w:szCs w:val="20"/>
          <w:color w:val="auto"/>
        </w:rPr>
      </w:pPr>
    </w:p>
    <w:p>
      <w:pPr>
        <w:jc w:val="both"/>
        <w:ind w:firstLine="3"/>
        <w:spacing w:after="0" w:line="289" w:lineRule="auto"/>
        <w:tabs>
          <w:tab w:leader="none" w:pos="142"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Non-GAAP diluted EPS is determined using the conversion of the Series A Convertible Preferred Stock into common stock in the calculation of weighted average diluted shares outstanding. GAAP EPS is determined using the most dilutive measure, either including the impact of dividends or deemed dividends on the Company’s Series A Convertible Preferred Stock in the calculation of net income or loss available to common stockholders or including the impact of the conversion of the Series A Convertible Preferred Stock into common stock in the calculation of the weighted average diluted shares outstanding. Therefore, GAAP diluted EPS and non-GAAP diluted EPS may not mathematically reconcile.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Non-GAAP</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6"/>
                <w:szCs w:val="16"/>
                <w:b w:val="1"/>
                <w:bCs w:val="1"/>
                <w:color w:val="auto"/>
              </w:rPr>
              <w:t>Non-GAAP</w:t>
            </w:r>
          </w:p>
        </w:tc>
        <w:tc>
          <w:tcPr>
            <w:tcW w:w="0" w:type="dxa"/>
            <w:vAlign w:val="bottom"/>
          </w:tcPr>
          <w:p>
            <w:pPr>
              <w:spacing w:after="0"/>
              <w:rPr>
                <w:sz w:val="1"/>
                <w:szCs w:val="1"/>
                <w:color w:val="auto"/>
              </w:rPr>
            </w:pPr>
          </w:p>
        </w:tc>
      </w:tr>
      <w:tr>
        <w:trPr>
          <w:trHeight w:val="148"/>
        </w:trPr>
        <w:tc>
          <w:tcPr>
            <w:tcW w:w="628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 common</w:t>
            </w: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NCR Voyix)</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on convertible preferred shares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628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7"/>
                <w:szCs w:val="17"/>
                <w:color w:val="auto"/>
              </w:rPr>
              <w:t>Income (loss) from continuing operations attributable to NCR Voyix common</w:t>
            </w:r>
          </w:p>
        </w:tc>
        <w:tc>
          <w:tcPr>
            <w:tcW w:w="3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Weighted average outstanding shares: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139.0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as-if converted preferred shares</w:t>
            </w:r>
          </w:p>
        </w:tc>
        <w:tc>
          <w:tcPr>
            <w:tcW w:w="3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1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shares used in diluted earnings per share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139.0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 from continuing operations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1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212"/>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60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6600" w:type="dxa"/>
            <w:vAlign w:val="bottom"/>
            <w:tcBorders>
              <w:bottom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Non-GAAP adjustments to income (loss) from continuing operations attributable to NCR Voyix</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Transformation and restructuring costs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initiatives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Litigation costs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Tax effect of non-GAAP adjustments</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Non-GAAP income (loss) from continuing operations (attributable to NCR Voyix)</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ind w:firstLine="3"/>
        <w:spacing w:after="0" w:line="299" w:lineRule="auto"/>
        <w:tabs>
          <w:tab w:leader="none" w:pos="146"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three months ended March 31, 2026, the tax effect of non-GAAP adjustments includes applying an annual forecasted non-GAAP tax rate of 29% as well as $3 million of discrete tax benefits. For the three months ended March 31, 2025, the tax effect of non-GAAP adjustments includes applying an annual forecasted non-GAAP tax rate of 27% as well as $2 million of discrete tax benefits.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58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8980" w:type="dxa"/>
            <w:vAlign w:val="bottom"/>
          </w:tcPr>
          <w:p>
            <w:pPr>
              <w:jc w:val="center"/>
              <w:ind w:left="2735"/>
              <w:spacing w:after="0"/>
              <w:rPr>
                <w:sz w:val="20"/>
                <w:szCs w:val="20"/>
                <w:color w:val="auto"/>
              </w:rPr>
            </w:pPr>
            <w:r>
              <w:rPr>
                <w:rFonts w:ascii="Times New Roman" w:cs="Times New Roman" w:eastAsia="Times New Roman" w:hAnsi="Times New Roman"/>
                <w:sz w:val="17"/>
                <w:szCs w:val="17"/>
                <w:b w:val="1"/>
                <w:bCs w:val="1"/>
                <w:color w:val="auto"/>
              </w:rPr>
              <w:t>NCR VOYIX CORPORATION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980" w:type="dxa"/>
            <w:vAlign w:val="bottom"/>
          </w:tcPr>
          <w:p>
            <w:pPr>
              <w:jc w:val="center"/>
              <w:ind w:left="2715"/>
              <w:spacing w:after="0" w:line="167" w:lineRule="exact"/>
              <w:rPr>
                <w:sz w:val="20"/>
                <w:szCs w:val="20"/>
                <w:color w:val="auto"/>
              </w:rPr>
            </w:pPr>
            <w:r>
              <w:rPr>
                <w:rFonts w:ascii="Times New Roman" w:cs="Times New Roman" w:eastAsia="Times New Roman" w:hAnsi="Times New Roman"/>
                <w:sz w:val="17"/>
                <w:szCs w:val="17"/>
                <w:b w:val="1"/>
                <w:bCs w:val="1"/>
                <w:color w:val="auto"/>
                <w:w w:val="99"/>
              </w:rPr>
              <w:t>CONSOLIDATED STATEMENTS OF OPERATIONS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Schedule A</w:t>
            </w:r>
          </w:p>
        </w:tc>
        <w:tc>
          <w:tcPr>
            <w:tcW w:w="0" w:type="dxa"/>
            <w:vAlign w:val="bottom"/>
          </w:tcPr>
          <w:p>
            <w:pPr>
              <w:spacing w:after="0"/>
              <w:rPr>
                <w:sz w:val="1"/>
                <w:szCs w:val="1"/>
                <w:color w:val="auto"/>
              </w:rPr>
            </w:pPr>
          </w:p>
        </w:tc>
      </w:tr>
      <w:tr>
        <w:trPr>
          <w:trHeight w:val="142"/>
        </w:trPr>
        <w:tc>
          <w:tcPr>
            <w:tcW w:w="8980" w:type="dxa"/>
            <w:vAlign w:val="bottom"/>
            <w:vMerge w:val="restart"/>
          </w:tcPr>
          <w:p>
            <w:pPr>
              <w:jc w:val="center"/>
              <w:ind w:left="2735"/>
              <w:spacing w:after="0" w:line="17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89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980" w:type="dxa"/>
            <w:vAlign w:val="bottom"/>
          </w:tcPr>
          <w:p>
            <w:pPr>
              <w:jc w:val="center"/>
              <w:ind w:left="2735"/>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980" w:type="dxa"/>
            <w:vAlign w:val="bottom"/>
          </w:tcPr>
          <w:p>
            <w:pPr>
              <w:spacing w:after="0"/>
              <w:rPr>
                <w:sz w:val="23"/>
                <w:szCs w:val="23"/>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Period Ended March</w:t>
            </w:r>
          </w:p>
        </w:tc>
        <w:tc>
          <w:tcPr>
            <w:tcW w:w="0" w:type="dxa"/>
            <w:vAlign w:val="bottom"/>
          </w:tcPr>
          <w:p>
            <w:pPr>
              <w:spacing w:after="0"/>
              <w:rPr>
                <w:sz w:val="1"/>
                <w:szCs w:val="1"/>
                <w:color w:val="auto"/>
              </w:rPr>
            </w:pPr>
          </w:p>
        </w:tc>
      </w:tr>
      <w:tr>
        <w:trPr>
          <w:trHeight w:val="227"/>
        </w:trPr>
        <w:tc>
          <w:tcPr>
            <w:tcW w:w="8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3"/>
              </w:rPr>
              <w:t>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0" w:type="dxa"/>
            <w:vAlign w:val="bottom"/>
          </w:tcPr>
          <w:p>
            <w:pPr>
              <w:spacing w:after="0"/>
              <w:rPr>
                <w:sz w:val="1"/>
                <w:szCs w:val="1"/>
                <w:color w:val="auto"/>
              </w:rPr>
            </w:pPr>
          </w:p>
        </w:tc>
      </w:tr>
      <w:tr>
        <w:trPr>
          <w:trHeight w:val="212"/>
        </w:trPr>
        <w:tc>
          <w:tcPr>
            <w:tcW w:w="8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149</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2"/>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Pr>
          <w:p>
            <w:pPr>
              <w:spacing w:after="0"/>
              <w:rPr>
                <w:sz w:val="18"/>
                <w:szCs w:val="18"/>
                <w:color w:val="auto"/>
              </w:rPr>
            </w:pP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606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5"/>
        </w:trPr>
        <w:tc>
          <w:tcPr>
            <w:tcW w:w="89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21.5 %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21.9 %</w:t>
            </w:r>
          </w:p>
        </w:tc>
        <w:tc>
          <w:tcPr>
            <w:tcW w:w="0" w:type="dxa"/>
            <w:vAlign w:val="bottom"/>
          </w:tcPr>
          <w:p>
            <w:pPr>
              <w:spacing w:after="0"/>
              <w:rPr>
                <w:sz w:val="1"/>
                <w:szCs w:val="1"/>
                <w:color w:val="auto"/>
              </w:rPr>
            </w:pPr>
          </w:p>
        </w:tc>
      </w:tr>
      <w:tr>
        <w:trPr>
          <w:trHeight w:val="22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5"/>
        </w:trPr>
        <w:tc>
          <w:tcPr>
            <w:tcW w:w="89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(3.4)%</w:t>
            </w:r>
          </w:p>
        </w:tc>
        <w:tc>
          <w:tcPr>
            <w:tcW w:w="0" w:type="dxa"/>
            <w:vAlign w:val="bottom"/>
          </w:tcPr>
          <w:p>
            <w:pPr>
              <w:spacing w:after="0"/>
              <w:rPr>
                <w:sz w:val="1"/>
                <w:szCs w:val="1"/>
                <w:color w:val="auto"/>
              </w:rPr>
            </w:pPr>
          </w:p>
        </w:tc>
      </w:tr>
      <w:tr>
        <w:trPr>
          <w:trHeight w:val="22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before income taxes</w:t>
            </w:r>
          </w:p>
        </w:tc>
        <w:tc>
          <w:tcPr>
            <w:tcW w:w="24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6"/>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(4.6)%</w:t>
            </w:r>
          </w:p>
        </w:tc>
        <w:tc>
          <w:tcPr>
            <w:tcW w:w="0" w:type="dxa"/>
            <w:vAlign w:val="bottom"/>
          </w:tcPr>
          <w:p>
            <w:pPr>
              <w:spacing w:after="0"/>
              <w:rPr>
                <w:sz w:val="1"/>
                <w:szCs w:val="1"/>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 of discontinued operations</w:t>
            </w:r>
          </w:p>
        </w:tc>
        <w:tc>
          <w:tcPr>
            <w:tcW w:w="2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NCR Voyix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Dividends on convertible preferred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NCR Voyix common stockholders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7"/>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NCR Voyix common stockholders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share attributable to NCR Voyix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common share from continuing operations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80" w:type="dxa"/>
            <w:vAlign w:val="bottom"/>
            <w:tcBorders>
              <w:bottom w:val="single" w:sz="8" w:color="CCEEFF"/>
            </w:tcBorders>
            <w:shd w:val="clear" w:color="auto" w:fill="CCEEFF"/>
          </w:tcPr>
          <w:p>
            <w:pPr>
              <w:ind w:left="220"/>
              <w:spacing w:after="0" w:line="210"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(0.18)</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980" w:type="dxa"/>
            <w:vAlign w:val="bottom"/>
          </w:tcPr>
          <w:p>
            <w:pPr>
              <w:ind w:left="220"/>
              <w:spacing w:after="0" w:line="190"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jc w:val="right"/>
              <w:ind w:right="34"/>
              <w:spacing w:after="0" w:line="191" w:lineRule="exact"/>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tcPr>
          <w:p>
            <w:pPr>
              <w:jc w:val="right"/>
              <w:ind w:right="75"/>
              <w:spacing w:after="0" w:line="191" w:lineRule="exact"/>
              <w:rPr>
                <w:sz w:val="20"/>
                <w:szCs w:val="20"/>
                <w:color w:val="auto"/>
              </w:rPr>
            </w:pPr>
            <w:r>
              <w:rPr>
                <w:rFonts w:ascii="Times New Roman" w:cs="Times New Roman" w:eastAsia="Times New Roman" w:hAnsi="Times New Roman"/>
                <w:sz w:val="17"/>
                <w:szCs w:val="17"/>
                <w:b w:val="1"/>
                <w:bCs w:val="1"/>
                <w:color w:val="auto"/>
              </w:rPr>
              <w:t>(0.06)</w:t>
            </w:r>
          </w:p>
        </w:tc>
        <w:tc>
          <w:tcPr>
            <w:tcW w:w="80" w:type="dxa"/>
            <w:vAlign w:val="bottom"/>
          </w:tcPr>
          <w:p>
            <w:pPr>
              <w:spacing w:after="0"/>
              <w:rPr>
                <w:sz w:val="16"/>
                <w:szCs w:val="16"/>
                <w:color w:val="auto"/>
              </w:rPr>
            </w:pPr>
          </w:p>
        </w:tc>
        <w:tc>
          <w:tcPr>
            <w:tcW w:w="240" w:type="dxa"/>
            <w:vAlign w:val="bottom"/>
            <w:tcBorders>
              <w:bottom w:val="single" w:sz="8" w:color="auto"/>
            </w:tcBorders>
          </w:tcPr>
          <w:p>
            <w:pPr>
              <w:ind w:left="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9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spacing w:after="0"/>
              <w:rPr>
                <w:sz w:val="19"/>
                <w:szCs w:val="19"/>
                <w:color w:val="auto"/>
              </w:rPr>
            </w:pP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r>
        <w:trPr>
          <w:trHeight w:val="219"/>
        </w:trPr>
        <w:tc>
          <w:tcPr>
            <w:tcW w:w="898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160" w:hanging="2"/>
        <w:spacing w:after="0" w:line="239" w:lineRule="auto"/>
        <w:tabs>
          <w:tab w:leader="none" w:pos="339"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Diluted EPS is determined using the most dilutive measure, either including the impact of the dividends and deemed dividends on the Company’s Series A Convertible Preferred Shares in the calculation of net income or loss per common share from continuing operations and net income or loss per common share or including the impact of the conversion of such preferred stock into common stock in the calculation of the weighted average diluted shares outstanding.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46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3720" w:type="dxa"/>
            <w:vAlign w:val="bottom"/>
          </w:tcPr>
          <w:p>
            <w:pPr>
              <w:spacing w:after="0"/>
              <w:rPr>
                <w:sz w:val="17"/>
                <w:szCs w:val="17"/>
                <w:color w:val="auto"/>
              </w:rPr>
            </w:pPr>
          </w:p>
        </w:tc>
        <w:tc>
          <w:tcPr>
            <w:tcW w:w="4400" w:type="dxa"/>
            <w:vAlign w:val="bottom"/>
            <w:gridSpan w:val="2"/>
          </w:tcPr>
          <w:p>
            <w:pPr>
              <w:jc w:val="center"/>
              <w:ind w:left="1074"/>
              <w:spacing w:after="0"/>
              <w:rPr>
                <w:sz w:val="20"/>
                <w:szCs w:val="20"/>
                <w:color w:val="auto"/>
              </w:rPr>
            </w:pPr>
            <w:r>
              <w:rPr>
                <w:rFonts w:ascii="Times New Roman" w:cs="Times New Roman" w:eastAsia="Times New Roman" w:hAnsi="Times New Roman"/>
                <w:sz w:val="17"/>
                <w:szCs w:val="17"/>
                <w:b w:val="1"/>
                <w:bCs w:val="1"/>
                <w:color w:val="auto"/>
              </w:rPr>
              <w:t>NCR VOYIX CORPORATION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5260" w:type="dxa"/>
            <w:vAlign w:val="bottom"/>
            <w:gridSpan w:val="4"/>
          </w:tcPr>
          <w:p>
            <w:pPr>
              <w:jc w:val="center"/>
              <w:ind w:left="234"/>
              <w:spacing w:after="0" w:line="173" w:lineRule="exact"/>
              <w:rPr>
                <w:sz w:val="20"/>
                <w:szCs w:val="20"/>
                <w:color w:val="auto"/>
              </w:rPr>
            </w:pPr>
            <w:r>
              <w:rPr>
                <w:rFonts w:ascii="Times New Roman" w:cs="Times New Roman" w:eastAsia="Times New Roman" w:hAnsi="Times New Roman"/>
                <w:sz w:val="17"/>
                <w:szCs w:val="17"/>
                <w:b w:val="1"/>
                <w:bCs w:val="1"/>
                <w:color w:val="auto"/>
              </w:rPr>
              <w:t>REVENUE AND ADJUSTED EBITDA SUMMARY</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b w:val="1"/>
                <w:bCs w:val="1"/>
                <w:color w:val="auto"/>
                <w:w w:val="97"/>
              </w:rPr>
              <w:t>Schedul</w:t>
            </w:r>
          </w:p>
        </w:tc>
        <w:tc>
          <w:tcPr>
            <w:tcW w:w="0" w:type="dxa"/>
            <w:vAlign w:val="bottom"/>
          </w:tcPr>
          <w:p>
            <w:pPr>
              <w:spacing w:after="0"/>
              <w:rPr>
                <w:sz w:val="1"/>
                <w:szCs w:val="1"/>
                <w:color w:val="auto"/>
              </w:rPr>
            </w:pPr>
          </w:p>
        </w:tc>
      </w:tr>
      <w:tr>
        <w:trPr>
          <w:trHeight w:val="137"/>
        </w:trPr>
        <w:tc>
          <w:tcPr>
            <w:tcW w:w="3720" w:type="dxa"/>
            <w:vAlign w:val="bottom"/>
          </w:tcPr>
          <w:p>
            <w:pPr>
              <w:spacing w:after="0"/>
              <w:rPr>
                <w:sz w:val="11"/>
                <w:szCs w:val="11"/>
                <w:color w:val="auto"/>
              </w:rPr>
            </w:pPr>
          </w:p>
        </w:tc>
        <w:tc>
          <w:tcPr>
            <w:tcW w:w="4400" w:type="dxa"/>
            <w:vAlign w:val="bottom"/>
            <w:gridSpan w:val="2"/>
            <w:vMerge w:val="restart"/>
          </w:tcPr>
          <w:p>
            <w:pPr>
              <w:jc w:val="center"/>
              <w:ind w:left="1094"/>
              <w:spacing w:after="0" w:line="175"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720" w:type="dxa"/>
            <w:vAlign w:val="bottom"/>
          </w:tcPr>
          <w:p>
            <w:pPr>
              <w:spacing w:after="0"/>
              <w:rPr>
                <w:sz w:val="3"/>
                <w:szCs w:val="3"/>
                <w:color w:val="auto"/>
              </w:rPr>
            </w:pPr>
          </w:p>
        </w:tc>
        <w:tc>
          <w:tcPr>
            <w:tcW w:w="44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720" w:type="dxa"/>
            <w:vAlign w:val="bottom"/>
          </w:tcPr>
          <w:p>
            <w:pPr>
              <w:spacing w:after="0"/>
              <w:rPr>
                <w:sz w:val="19"/>
                <w:szCs w:val="19"/>
                <w:color w:val="auto"/>
              </w:rPr>
            </w:pPr>
          </w:p>
        </w:tc>
        <w:tc>
          <w:tcPr>
            <w:tcW w:w="4400" w:type="dxa"/>
            <w:vAlign w:val="bottom"/>
            <w:gridSpan w:val="2"/>
          </w:tcPr>
          <w:p>
            <w:pPr>
              <w:jc w:val="center"/>
              <w:ind w:left="107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9"/>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 the Period Ended March 31</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9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9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4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44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4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4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2"/>
                <w:szCs w:val="22"/>
                <w:color w:val="auto"/>
                <w:vertAlign w:val="superscript"/>
              </w:rPr>
              <w:t>(1)</w:t>
            </w:r>
          </w:p>
        </w:tc>
        <w:tc>
          <w:tcPr>
            <w:tcW w:w="4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4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2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44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720" w:type="dxa"/>
            <w:vAlign w:val="bottom"/>
          </w:tcPr>
          <w:p>
            <w:pPr>
              <w:ind w:left="320"/>
              <w:spacing w:after="0"/>
              <w:rPr>
                <w:sz w:val="20"/>
                <w:szCs w:val="20"/>
                <w:color w:val="auto"/>
              </w:rPr>
            </w:pPr>
            <w:r>
              <w:rPr>
                <w:rFonts w:ascii="Times New Roman" w:cs="Times New Roman" w:eastAsia="Times New Roman" w:hAnsi="Times New Roman"/>
                <w:sz w:val="15"/>
                <w:szCs w:val="15"/>
                <w:i w:val="1"/>
                <w:iCs w:val="1"/>
                <w:color w:val="auto"/>
              </w:rPr>
              <w:t>Retail Adjusted EBITDA margin %</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i w:val="1"/>
                <w:iCs w:val="1"/>
                <w:color w:val="auto"/>
              </w:rPr>
              <w:t>18.3%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5"/>
                <w:szCs w:val="15"/>
                <w:i w:val="1"/>
                <w:iCs w:val="1"/>
                <w:color w:val="auto"/>
              </w:rPr>
              <w:t>15.5%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4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i w:val="1"/>
                <w:iCs w:val="1"/>
                <w:color w:val="auto"/>
              </w:rPr>
              <w:t>Restaurants Adjusted EBITDA margin %</w:t>
            </w:r>
          </w:p>
        </w:tc>
        <w:tc>
          <w:tcPr>
            <w:tcW w:w="4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b w:val="1"/>
                <w:bCs w:val="1"/>
                <w:i w:val="1"/>
                <w:iCs w:val="1"/>
                <w:color w:val="auto"/>
              </w:rPr>
              <w:t>30.2%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i w:val="1"/>
                <w:iCs w:val="1"/>
                <w:color w:val="auto"/>
              </w:rPr>
              <w:t>30.9%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Segment Adjusted EBITDA margin %</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i w:val="1"/>
                <w:iCs w:val="1"/>
                <w:color w:val="auto"/>
              </w:rPr>
              <w:t>21.8%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5"/>
                <w:szCs w:val="15"/>
                <w:i w:val="1"/>
                <w:iCs w:val="1"/>
                <w:color w:val="auto"/>
              </w:rPr>
              <w:t>20.3%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2"/>
                <w:szCs w:val="22"/>
                <w:color w:val="auto"/>
                <w:vertAlign w:val="superscript"/>
              </w:rPr>
              <w:t>(1)</w:t>
            </w:r>
          </w:p>
        </w:tc>
        <w:tc>
          <w:tcPr>
            <w:tcW w:w="4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Adjusted EBITDA</w:t>
            </w:r>
          </w:p>
        </w:tc>
        <w:tc>
          <w:tcPr>
            <w:tcW w:w="42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Total Adjusted EBITDA margin %</w:t>
            </w:r>
          </w:p>
        </w:tc>
        <w:tc>
          <w:tcPr>
            <w:tcW w:w="4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b w:val="1"/>
                <w:bCs w:val="1"/>
                <w:i w:val="1"/>
                <w:iCs w:val="1"/>
                <w:color w:val="auto"/>
              </w:rPr>
              <w:t>12.9%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i w:val="1"/>
                <w:iCs w:val="1"/>
                <w:color w:val="auto"/>
              </w:rPr>
              <w:t>12.1%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60" w:firstLine="3"/>
        <w:spacing w:after="0" w:line="275" w:lineRule="auto"/>
        <w:tabs>
          <w:tab w:leader="none" w:pos="126"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as well as commercial agreements with NCR Atleos.</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300"/>
          </w:cols>
          <w:pgMar w:left="320" w:top="756"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7940" w:type="dxa"/>
            <w:vAlign w:val="bottom"/>
          </w:tcPr>
          <w:p>
            <w:pPr>
              <w:jc w:val="center"/>
              <w:ind w:left="3722"/>
              <w:spacing w:after="0"/>
              <w:rPr>
                <w:sz w:val="20"/>
                <w:szCs w:val="20"/>
                <w:color w:val="auto"/>
              </w:rPr>
            </w:pPr>
            <w:r>
              <w:rPr>
                <w:rFonts w:ascii="Times New Roman" w:cs="Times New Roman" w:eastAsia="Times New Roman" w:hAnsi="Times New Roman"/>
                <w:sz w:val="17"/>
                <w:szCs w:val="17"/>
                <w:b w:val="1"/>
                <w:bCs w:val="1"/>
                <w:color w:val="auto"/>
              </w:rPr>
              <w:t>NCR VOYIX CORPORATION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940" w:type="dxa"/>
            <w:vAlign w:val="bottom"/>
          </w:tcPr>
          <w:p>
            <w:pPr>
              <w:jc w:val="center"/>
              <w:ind w:left="3722"/>
              <w:spacing w:after="0" w:line="173" w:lineRule="exact"/>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jc w:val="right"/>
              <w:ind w:right="203"/>
              <w:spacing w:after="0"/>
              <w:rPr>
                <w:sz w:val="20"/>
                <w:szCs w:val="20"/>
                <w:color w:val="auto"/>
              </w:rPr>
            </w:pPr>
            <w:r>
              <w:rPr>
                <w:rFonts w:ascii="Times New Roman" w:cs="Times New Roman" w:eastAsia="Times New Roman" w:hAnsi="Times New Roman"/>
                <w:sz w:val="17"/>
                <w:szCs w:val="17"/>
                <w:b w:val="1"/>
                <w:bCs w:val="1"/>
                <w:color w:val="auto"/>
              </w:rPr>
              <w:t>Schedule C</w:t>
            </w:r>
          </w:p>
        </w:tc>
        <w:tc>
          <w:tcPr>
            <w:tcW w:w="0" w:type="dxa"/>
            <w:vAlign w:val="bottom"/>
          </w:tcPr>
          <w:p>
            <w:pPr>
              <w:spacing w:after="0"/>
              <w:rPr>
                <w:sz w:val="1"/>
                <w:szCs w:val="1"/>
                <w:color w:val="auto"/>
              </w:rPr>
            </w:pPr>
          </w:p>
        </w:tc>
      </w:tr>
      <w:tr>
        <w:trPr>
          <w:trHeight w:val="137"/>
        </w:trPr>
        <w:tc>
          <w:tcPr>
            <w:tcW w:w="7940" w:type="dxa"/>
            <w:vAlign w:val="bottom"/>
            <w:vMerge w:val="restart"/>
          </w:tcPr>
          <w:p>
            <w:pPr>
              <w:jc w:val="center"/>
              <w:ind w:left="3722"/>
              <w:spacing w:after="0" w:line="175"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9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7940" w:type="dxa"/>
            <w:vAlign w:val="bottom"/>
          </w:tcPr>
          <w:p>
            <w:pPr>
              <w:jc w:val="center"/>
              <w:ind w:left="3702"/>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2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4"/>
                <w:szCs w:val="24"/>
                <w:color w:val="auto"/>
              </w:rPr>
            </w:pPr>
          </w:p>
        </w:tc>
        <w:tc>
          <w:tcPr>
            <w:tcW w:w="14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05"/>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 of allowances of $19 and $21 as of March 31, 2026 and December 31, 2025, respectively</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457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Inventories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r>
        <w:trPr>
          <w:trHeight w:val="205"/>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Prepaid and other current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0" w:type="dxa"/>
            <w:vAlign w:val="bottom"/>
          </w:tcPr>
          <w:p>
            <w:pPr>
              <w:spacing w:after="0"/>
              <w:rPr>
                <w:sz w:val="1"/>
                <w:szCs w:val="1"/>
                <w:color w:val="auto"/>
              </w:rPr>
            </w:pPr>
          </w:p>
        </w:tc>
      </w:tr>
      <w:tr>
        <w:trPr>
          <w:trHeight w:val="205"/>
        </w:trPr>
        <w:tc>
          <w:tcPr>
            <w:tcW w:w="7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Current assets of discontinued operations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Intangibles, net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Prepaid pension cost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05"/>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0" w:type="dxa"/>
            <w:vAlign w:val="bottom"/>
          </w:tcPr>
          <w:p>
            <w:pPr>
              <w:spacing w:after="0"/>
              <w:rPr>
                <w:sz w:val="1"/>
                <w:szCs w:val="1"/>
                <w:color w:val="auto"/>
              </w:rPr>
            </w:pPr>
          </w:p>
        </w:tc>
      </w:tr>
      <w:tr>
        <w:trPr>
          <w:trHeight w:val="22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3,923</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371</w:t>
            </w:r>
          </w:p>
        </w:tc>
        <w:tc>
          <w:tcPr>
            <w:tcW w:w="16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Payroll and benefits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05"/>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Contract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Settlement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5"/>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liabilities of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98"/>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0" w:type="dxa"/>
            <w:vAlign w:val="bottom"/>
          </w:tcPr>
          <w:p>
            <w:pPr>
              <w:spacing w:after="0"/>
              <w:rPr>
                <w:sz w:val="1"/>
                <w:szCs w:val="1"/>
                <w:color w:val="auto"/>
              </w:rPr>
            </w:pPr>
          </w:p>
        </w:tc>
      </w:tr>
      <w:tr>
        <w:trPr>
          <w:trHeight w:val="20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Pension and indemnity plan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Postretirement and postemployment benefits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accruals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205"/>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liabilities of discontinued operations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2,788</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2,766</w:t>
            </w:r>
          </w:p>
        </w:tc>
        <w:tc>
          <w:tcPr>
            <w:tcW w:w="0" w:type="dxa"/>
            <w:vAlign w:val="bottom"/>
          </w:tcPr>
          <w:p>
            <w:pPr>
              <w:spacing w:after="0"/>
              <w:rPr>
                <w:sz w:val="1"/>
                <w:szCs w:val="1"/>
                <w:color w:val="auto"/>
              </w:rPr>
            </w:pPr>
          </w:p>
        </w:tc>
      </w:tr>
      <w:tr>
        <w:trPr>
          <w:trHeight w:val="18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9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Series A convertible preferred stock: par value $0.01 per share, 3.0 shares authorized, 0.2 shares issued and outstanding as of</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94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March 31, 2026 and December 31, 2025; redemption amount and liquidation preference of $207 as of March 31, 2026 and</w:t>
            </w:r>
          </w:p>
        </w:tc>
        <w:tc>
          <w:tcPr>
            <w:tcW w:w="2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 31, 2025</w:t>
            </w:r>
          </w:p>
        </w:tc>
        <w:tc>
          <w:tcPr>
            <w:tcW w:w="2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 (deficit)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NCR Voyix stockholders’ equity (deficit)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94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5"/>
                <w:szCs w:val="15"/>
                <w:color w:val="auto"/>
              </w:rPr>
              <w:t>Preferred stock: par value $0.01 per share, 100.0 shares authorized, no shares issued and outstanding as of March 31, 2026</w:t>
            </w:r>
          </w:p>
        </w:tc>
        <w:tc>
          <w:tcPr>
            <w:tcW w:w="2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and December 31, 2025, respectively</w:t>
            </w:r>
          </w:p>
        </w:tc>
        <w:tc>
          <w:tcPr>
            <w:tcW w:w="220" w:type="dxa"/>
            <w:vAlign w:val="bottom"/>
            <w:shd w:val="clear" w:color="auto" w:fill="CCEEFF"/>
          </w:tcPr>
          <w:p>
            <w:pPr>
              <w:spacing w:after="0"/>
              <w:rPr>
                <w:sz w:val="17"/>
                <w:szCs w:val="17"/>
                <w:color w:val="auto"/>
              </w:rPr>
            </w:pPr>
          </w:p>
        </w:tc>
        <w:tc>
          <w:tcPr>
            <w:tcW w:w="15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940" w:type="dxa"/>
            <w:vAlign w:val="bottom"/>
          </w:tcPr>
          <w:p>
            <w:pPr>
              <w:ind w:left="320"/>
              <w:spacing w:after="0" w:line="156" w:lineRule="exact"/>
              <w:rPr>
                <w:sz w:val="20"/>
                <w:szCs w:val="20"/>
                <w:color w:val="auto"/>
              </w:rPr>
            </w:pPr>
            <w:r>
              <w:rPr>
                <w:rFonts w:ascii="Times New Roman" w:cs="Times New Roman" w:eastAsia="Times New Roman" w:hAnsi="Times New Roman"/>
                <w:sz w:val="15"/>
                <w:szCs w:val="15"/>
                <w:color w:val="auto"/>
              </w:rPr>
              <w:t>Common stock: par value $0.01 per share, 500.0 shares authorized, 138.5 and 138.1 shares issued and outstanding as of</w:t>
            </w:r>
          </w:p>
        </w:tc>
        <w:tc>
          <w:tcPr>
            <w:tcW w:w="2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March 31, 2026 and December 31, 2025, respectively</w:t>
            </w:r>
          </w:p>
        </w:tc>
        <w:tc>
          <w:tcPr>
            <w:tcW w:w="2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Paid-in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0" w:type="dxa"/>
            <w:vAlign w:val="bottom"/>
          </w:tcPr>
          <w:p>
            <w:pPr>
              <w:spacing w:after="0"/>
              <w:rPr>
                <w:sz w:val="1"/>
                <w:szCs w:val="1"/>
                <w:color w:val="auto"/>
              </w:rPr>
            </w:pPr>
          </w:p>
        </w:tc>
      </w:tr>
      <w:tr>
        <w:trPr>
          <w:trHeight w:val="205"/>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Retained earnings (deficit)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NCR Voyix stockholders’ equity (deficit)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0" w:type="dxa"/>
            <w:vAlign w:val="bottom"/>
          </w:tcPr>
          <w:p>
            <w:pPr>
              <w:spacing w:after="0"/>
              <w:rPr>
                <w:sz w:val="1"/>
                <w:szCs w:val="1"/>
                <w:color w:val="auto"/>
              </w:rPr>
            </w:pP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 in subsidiaries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 (deficit)</w:t>
            </w: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928</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0" w:type="dxa"/>
            <w:vAlign w:val="bottom"/>
          </w:tcPr>
          <w:p>
            <w:pPr>
              <w:spacing w:after="0"/>
              <w:rPr>
                <w:sz w:val="1"/>
                <w:szCs w:val="1"/>
                <w:color w:val="auto"/>
              </w:rPr>
            </w:pPr>
          </w:p>
        </w:tc>
      </w:tr>
      <w:tr>
        <w:trPr>
          <w:trHeight w:val="22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 (deficit)</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3,923</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60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7520" w:type="dxa"/>
            <w:vAlign w:val="bottom"/>
          </w:tcPr>
          <w:p>
            <w:pPr>
              <w:jc w:val="center"/>
              <w:ind w:left="3862"/>
              <w:spacing w:after="0"/>
              <w:rPr>
                <w:sz w:val="20"/>
                <w:szCs w:val="20"/>
                <w:color w:val="auto"/>
              </w:rPr>
            </w:pPr>
            <w:r>
              <w:rPr>
                <w:rFonts w:ascii="Times New Roman" w:cs="Times New Roman" w:eastAsia="Times New Roman" w:hAnsi="Times New Roman"/>
                <w:sz w:val="16"/>
                <w:szCs w:val="16"/>
                <w:b w:val="1"/>
                <w:bCs w:val="1"/>
                <w:color w:val="auto"/>
              </w:rPr>
              <w:t>NCR VOYIX CORPORATION</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Schedule D</w:t>
            </w:r>
          </w:p>
        </w:tc>
        <w:tc>
          <w:tcPr>
            <w:tcW w:w="0" w:type="dxa"/>
            <w:vAlign w:val="bottom"/>
          </w:tcPr>
          <w:p>
            <w:pPr>
              <w:spacing w:after="0"/>
              <w:rPr>
                <w:sz w:val="1"/>
                <w:szCs w:val="1"/>
                <w:color w:val="auto"/>
              </w:rPr>
            </w:pPr>
          </w:p>
        </w:tc>
      </w:tr>
      <w:tr>
        <w:trPr>
          <w:trHeight w:val="168"/>
        </w:trPr>
        <w:tc>
          <w:tcPr>
            <w:tcW w:w="7900" w:type="dxa"/>
            <w:vAlign w:val="bottom"/>
            <w:gridSpan w:val="2"/>
          </w:tcPr>
          <w:p>
            <w:pPr>
              <w:jc w:val="center"/>
              <w:ind w:left="3482"/>
              <w:spacing w:after="0" w:line="168" w:lineRule="exact"/>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20" w:type="dxa"/>
            <w:vAlign w:val="bottom"/>
          </w:tcPr>
          <w:p>
            <w:pPr>
              <w:jc w:val="center"/>
              <w:ind w:left="3842"/>
              <w:spacing w:after="0" w:line="155"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520" w:type="dxa"/>
            <w:vAlign w:val="bottom"/>
          </w:tcPr>
          <w:p>
            <w:pPr>
              <w:jc w:val="center"/>
              <w:ind w:left="384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3"/>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2026</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8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22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Impairment of other assets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(gain) on disposal of property, plant and equipment and other assets, net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Receivables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Inventories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5"/>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Current payables and accrued expenses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Contract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5"/>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Employee benefit plans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Other assets and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8"/>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8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(36)</w:t>
            </w:r>
          </w:p>
        </w:tc>
        <w:tc>
          <w:tcPr>
            <w:tcW w:w="22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Collections on purchased trade receivables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Collections on non-operating receivables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Sale (purchase) of intangible assets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8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revolving credit facilities</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c>
          <w:tcPr>
            <w:tcW w:w="22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Borrowings on revolving credit facilities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dividend paid for Series A preferred shares dividends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employee stock plans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Tax withholding payments on behalf of employees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Principal payments for finance lease obligations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85"/>
        </w:trPr>
        <w:tc>
          <w:tcPr>
            <w:tcW w:w="7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discontinued operations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8"/>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cash, cash equivalents, and restricted cash</w:t>
            </w:r>
          </w:p>
        </w:tc>
        <w:tc>
          <w:tcPr>
            <w:tcW w:w="38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0" w:type="dxa"/>
            <w:vAlign w:val="bottom"/>
          </w:tcPr>
          <w:p>
            <w:pPr>
              <w:spacing w:after="0"/>
              <w:rPr>
                <w:sz w:val="1"/>
                <w:szCs w:val="1"/>
                <w:color w:val="auto"/>
              </w:rPr>
            </w:pPr>
          </w:p>
        </w:tc>
      </w:tr>
      <w:tr>
        <w:trPr>
          <w:trHeight w:val="198"/>
        </w:trPr>
        <w:tc>
          <w:tcPr>
            <w:tcW w:w="7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246</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940"/>
          </w:cols>
          <w:pgMar w:left="480" w:top="613"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color w:val="auto"/>
        </w:rPr>
        <w:t>Contact: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Sarah Jane Schneider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00FF"/>
        </w:rPr>
        <w:t>investor.relations@ncrvoyix.com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Media Relations: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Chad Biele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00FF"/>
        </w:rPr>
        <w:t>media.relations@ncrvoyix.com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13</w:t>
      </w:r>
    </w:p>
    <w:sectPr>
      <w:pgSz w:w="11900" w:h="16838" w:orient="portrait"/>
      <w:cols w:equalWidth="0" w:num="1">
        <w:col w:w="10139"/>
      </w:cols>
      <w:pgMar w:left="320" w:top="7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decimal"/>
      <w:start w:val="646"/>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2026-05-07T05:34:11Z</dcterms:created>
  <dcterms:modified xsi:type="dcterms:W3CDTF">2026-05-07T05:34:11Z</dcterms:modified>
</cp:coreProperties>
</file>