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6423.xml.htm"/>
      <w:bookmarkStart w:id="1" w:name="kswkform4_17865664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KELLY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NCR VOYIX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864 SPRING ST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NCR Voyix Corp</w:t>
              </w:r>
            </w:hyperlink>
            <w:r>
              <w:rPr/>
              <w:t xml:space="preserve"> [ </w:t>
            </w:r>
            <w:r>
              <w:rPr>
                <w:rFonts w:ascii="Times;serif" w:hAnsi="Times;serif"/>
                <w:color w:val="0000FF"/>
                <w:sz w:val="24"/>
                <w:shd w:fill="FFFFFF" w:val="clear"/>
              </w:rPr>
              <w:t>VYX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1016"/>
        <w:gridCol w:w="454"/>
        <w:gridCol w:w="617"/>
        <w:gridCol w:w="1163"/>
        <w:gridCol w:w="998"/>
        <w:gridCol w:w="9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113,753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113,753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219,383</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Maura M. Kelly Family Gift Trust</w:t>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32,100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James G Kelly Grantor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11, 2026, Maura M. Kelly (spouse) transferred 113,753 shares of NCR Voyix Corporation common stock for no consideration to The Maura M. Kelly Family Gift Trust for which the reporting person is the trustee. Members of the reporting person's immediate family are the sole beneficiaries of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Sterrett, Attorney-in-Fact for James G. Kelly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6014" TargetMode="External"/><Relationship Id="rId5" Type="http://schemas.openxmlformats.org/officeDocument/2006/relationships/hyperlink" Target="http://www.sec.gov/cgi-bin/browse-edgar?action=getcompany&amp;CIK=00000708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3475</Characters>
  <CharactersWithSpaces>4044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