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37772.xml.htm"/>
      <w:bookmarkStart w:id="1" w:name="kswkform4_17867377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Tadele Beimnet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NCR VOYIX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864 SPRING STREET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NCR Voyix Corp</w:t>
              </w:r>
            </w:hyperlink>
            <w:r>
              <w:rPr/>
              <w:t xml:space="preserve"> [ </w:t>
            </w:r>
            <w:r>
              <w:rPr>
                <w:rFonts w:ascii="Times;serif" w:hAnsi="Times;serif"/>
                <w:color w:val="0000FF"/>
                <w:sz w:val="24"/>
                <w:shd w:fill="FFFFFF" w:val="clear"/>
              </w:rPr>
              <w:t>VYX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President, Restaurants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8.2035</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25,028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reflects the weighted average sales price. These shares were sold in multiple transactions at prices ranging from $8.20 to $8.22 per share. The reporting person undertakes to provide, upon request, full information regarding the number of shares sold at each price within the range set forth in this footnote to the Issuer, any security holder of the Issuer, or the staff of the Securities and Exchange Commission.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Kelli Sterrett, Attorney-in-Fact for Beimnet Tadele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0339" TargetMode="External"/><Relationship Id="rId5" Type="http://schemas.openxmlformats.org/officeDocument/2006/relationships/hyperlink" Target="http://www.sec.gov/cgi-bin/browse-edgar?action=getcompany&amp;CIK=00000708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3491</Characters>
  <CharactersWithSpaces>4067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