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212725</wp:posOffset>
            </wp:positionV>
            <wp:extent cx="713867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244475</wp:posOffset>
            </wp:positionV>
            <wp:extent cx="71386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145"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November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224155</wp:posOffset>
            </wp:positionV>
            <wp:extent cx="713867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tbl>
      <w:tblPr>
        <w:tblLayout w:type="fixed"/>
        <w:tblInd w:w="0" w:type="dxa"/>
        <w:tblCellMar>
          <w:top w:w="0" w:type="dxa"/>
          <w:left w:w="0" w:type="dxa"/>
          <w:bottom w:w="0" w:type="dxa"/>
          <w:right w:w="0" w:type="dxa"/>
        </w:tblCellMar>
      </w:tblPr>
      <w:tr>
        <w:trPr>
          <w:trHeight w:val="373"/>
        </w:trPr>
        <w:tc>
          <w:tcPr>
            <w:tcW w:w="7920" w:type="dxa"/>
            <w:vAlign w:val="bottom"/>
          </w:tcPr>
          <w:p>
            <w:pPr>
              <w:jc w:val="center"/>
              <w:ind w:left="3258"/>
              <w:spacing w:after="0"/>
              <w:rPr>
                <w:sz w:val="20"/>
                <w:szCs w:val="20"/>
                <w:color w:val="auto"/>
              </w:rPr>
            </w:pPr>
            <w:r>
              <w:rPr>
                <w:rFonts w:ascii="Times New Roman" w:cs="Times New Roman" w:eastAsia="Times New Roman" w:hAnsi="Times New Roman"/>
                <w:sz w:val="31"/>
                <w:szCs w:val="31"/>
                <w:b w:val="1"/>
                <w:bCs w:val="1"/>
                <w:color w:val="auto"/>
                <w:w w:val="99"/>
              </w:rPr>
              <w:t>NCR VOYIX CORPORATION</w:t>
            </w:r>
          </w:p>
        </w:tc>
        <w:tc>
          <w:tcPr>
            <w:tcW w:w="3320" w:type="dxa"/>
            <w:vAlign w:val="bottom"/>
          </w:tcPr>
          <w:p>
            <w:pPr>
              <w:spacing w:after="0"/>
              <w:rPr>
                <w:sz w:val="24"/>
                <w:szCs w:val="24"/>
                <w:color w:val="auto"/>
              </w:rPr>
            </w:pPr>
          </w:p>
        </w:tc>
      </w:tr>
      <w:tr>
        <w:trPr>
          <w:trHeight w:val="159"/>
        </w:trPr>
        <w:tc>
          <w:tcPr>
            <w:tcW w:w="7920" w:type="dxa"/>
            <w:vAlign w:val="bottom"/>
          </w:tcPr>
          <w:p>
            <w:pPr>
              <w:jc w:val="center"/>
              <w:ind w:left="3258"/>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tc>
        <w:tc>
          <w:tcPr>
            <w:tcW w:w="3320" w:type="dxa"/>
            <w:vAlign w:val="bottom"/>
          </w:tcPr>
          <w:p>
            <w:pPr>
              <w:spacing w:after="0"/>
              <w:rPr>
                <w:sz w:val="13"/>
                <w:szCs w:val="13"/>
                <w:color w:val="auto"/>
              </w:rPr>
            </w:pPr>
          </w:p>
        </w:tc>
      </w:tr>
      <w:tr>
        <w:trPr>
          <w:trHeight w:val="357"/>
        </w:trPr>
        <w:tc>
          <w:tcPr>
            <w:tcW w:w="79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r>
      <w:tr>
        <w:trPr>
          <w:trHeight w:val="284"/>
        </w:trPr>
        <w:tc>
          <w:tcPr>
            <w:tcW w:w="7920" w:type="dxa"/>
            <w:vAlign w:val="bottom"/>
          </w:tcPr>
          <w:p>
            <w:pPr>
              <w:ind w:left="2480"/>
              <w:spacing w:after="0"/>
              <w:rPr>
                <w:sz w:val="20"/>
                <w:szCs w:val="20"/>
                <w:color w:val="auto"/>
              </w:rPr>
            </w:pPr>
            <w:r>
              <w:rPr>
                <w:rFonts w:ascii="Times New Roman" w:cs="Times New Roman" w:eastAsia="Times New Roman" w:hAnsi="Times New Roman"/>
                <w:sz w:val="17"/>
                <w:szCs w:val="17"/>
                <w:b w:val="1"/>
                <w:bCs w:val="1"/>
                <w:color w:val="auto"/>
              </w:rPr>
              <w:t>Commission File Number 001-00395</w:t>
            </w:r>
          </w:p>
        </w:tc>
        <w:tc>
          <w:tcPr>
            <w:tcW w:w="3320" w:type="dxa"/>
            <w:vAlign w:val="bottom"/>
          </w:tcPr>
          <w:p>
            <w:pPr>
              <w:spacing w:after="0"/>
              <w:rPr>
                <w:sz w:val="24"/>
                <w:szCs w:val="24"/>
                <w:color w:val="auto"/>
              </w:rPr>
            </w:pPr>
          </w:p>
        </w:tc>
      </w:tr>
      <w:tr>
        <w:trPr>
          <w:trHeight w:val="348"/>
        </w:trPr>
        <w:tc>
          <w:tcPr>
            <w:tcW w:w="7920" w:type="dxa"/>
            <w:vAlign w:val="bottom"/>
          </w:tcPr>
          <w:p>
            <w:pPr>
              <w:jc w:val="center"/>
              <w:ind w:right="2338"/>
              <w:spacing w:after="0"/>
              <w:rPr>
                <w:sz w:val="20"/>
                <w:szCs w:val="20"/>
                <w:color w:val="auto"/>
              </w:rPr>
            </w:pPr>
            <w:r>
              <w:rPr>
                <w:rFonts w:ascii="Times New Roman" w:cs="Times New Roman" w:eastAsia="Times New Roman" w:hAnsi="Times New Roman"/>
                <w:sz w:val="17"/>
                <w:szCs w:val="17"/>
                <w:b w:val="1"/>
                <w:bCs w:val="1"/>
                <w:color w:val="auto"/>
              </w:rPr>
              <w:t>Maryland</w:t>
            </w:r>
          </w:p>
        </w:tc>
        <w:tc>
          <w:tcPr>
            <w:tcW w:w="3320" w:type="dxa"/>
            <w:vAlign w:val="bottom"/>
          </w:tcPr>
          <w:p>
            <w:pPr>
              <w:jc w:val="center"/>
              <w:ind w:right="1931"/>
              <w:spacing w:after="0"/>
              <w:rPr>
                <w:sz w:val="20"/>
                <w:szCs w:val="20"/>
                <w:color w:val="auto"/>
              </w:rPr>
            </w:pPr>
            <w:r>
              <w:rPr>
                <w:rFonts w:ascii="Times New Roman" w:cs="Times New Roman" w:eastAsia="Times New Roman" w:hAnsi="Times New Roman"/>
                <w:sz w:val="17"/>
                <w:szCs w:val="17"/>
                <w:b w:val="1"/>
                <w:bCs w:val="1"/>
                <w:color w:val="auto"/>
              </w:rPr>
              <w:t>31-0387920</w:t>
            </w:r>
          </w:p>
        </w:tc>
      </w:tr>
      <w:tr>
        <w:trPr>
          <w:trHeight w:val="128"/>
        </w:trPr>
        <w:tc>
          <w:tcPr>
            <w:tcW w:w="7920" w:type="dxa"/>
            <w:vAlign w:val="bottom"/>
          </w:tcPr>
          <w:p>
            <w:pPr>
              <w:jc w:val="center"/>
              <w:ind w:right="2338"/>
              <w:spacing w:after="0" w:line="129" w:lineRule="exact"/>
              <w:rPr>
                <w:sz w:val="20"/>
                <w:szCs w:val="20"/>
                <w:color w:val="auto"/>
              </w:rPr>
            </w:pPr>
            <w:r>
              <w:rPr>
                <w:rFonts w:ascii="Times New Roman" w:cs="Times New Roman" w:eastAsia="Times New Roman" w:hAnsi="Times New Roman"/>
                <w:sz w:val="12"/>
                <w:szCs w:val="12"/>
                <w:b w:val="1"/>
                <w:bCs w:val="1"/>
                <w:color w:val="auto"/>
                <w:w w:val="99"/>
              </w:rPr>
              <w:t>(State or other jurisdiction of</w:t>
            </w:r>
          </w:p>
        </w:tc>
        <w:tc>
          <w:tcPr>
            <w:tcW w:w="3320" w:type="dxa"/>
            <w:vAlign w:val="bottom"/>
          </w:tcPr>
          <w:p>
            <w:pPr>
              <w:jc w:val="center"/>
              <w:ind w:right="1931"/>
              <w:spacing w:after="0" w:line="129"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9"/>
        </w:trPr>
        <w:tc>
          <w:tcPr>
            <w:tcW w:w="7920" w:type="dxa"/>
            <w:vAlign w:val="bottom"/>
          </w:tcPr>
          <w:p>
            <w:pPr>
              <w:jc w:val="center"/>
              <w:ind w:right="2358"/>
              <w:spacing w:after="0"/>
              <w:rPr>
                <w:sz w:val="20"/>
                <w:szCs w:val="20"/>
                <w:color w:val="auto"/>
              </w:rPr>
            </w:pPr>
            <w:r>
              <w:rPr>
                <w:rFonts w:ascii="Times New Roman" w:cs="Times New Roman" w:eastAsia="Times New Roman" w:hAnsi="Times New Roman"/>
                <w:sz w:val="12"/>
                <w:szCs w:val="12"/>
                <w:b w:val="1"/>
                <w:bCs w:val="1"/>
                <w:color w:val="auto"/>
                <w:w w:val="99"/>
              </w:rPr>
              <w:t>incorporation or organization)</w:t>
            </w:r>
          </w:p>
        </w:tc>
        <w:tc>
          <w:tcPr>
            <w:tcW w:w="3320" w:type="dxa"/>
            <w:vAlign w:val="bottom"/>
          </w:tcPr>
          <w:p>
            <w:pPr>
              <w:jc w:val="center"/>
              <w:ind w:right="1911"/>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439"/>
        </w:trPr>
        <w:tc>
          <w:tcPr>
            <w:tcW w:w="7920" w:type="dxa"/>
            <w:vAlign w:val="bottom"/>
          </w:tcPr>
          <w:p>
            <w:pPr>
              <w:jc w:val="center"/>
              <w:ind w:left="3258"/>
              <w:spacing w:after="0"/>
              <w:rPr>
                <w:sz w:val="20"/>
                <w:szCs w:val="20"/>
                <w:color w:val="auto"/>
              </w:rPr>
            </w:pPr>
            <w:r>
              <w:rPr>
                <w:rFonts w:ascii="Times New Roman" w:cs="Times New Roman" w:eastAsia="Times New Roman" w:hAnsi="Times New Roman"/>
                <w:sz w:val="17"/>
                <w:szCs w:val="17"/>
                <w:b w:val="1"/>
                <w:bCs w:val="1"/>
                <w:color w:val="auto"/>
              </w:rPr>
              <w:t>864 Spring Street NW</w:t>
            </w:r>
          </w:p>
        </w:tc>
        <w:tc>
          <w:tcPr>
            <w:tcW w:w="3320" w:type="dxa"/>
            <w:vAlign w:val="bottom"/>
          </w:tcPr>
          <w:p>
            <w:pPr>
              <w:spacing w:after="0"/>
              <w:rPr>
                <w:sz w:val="24"/>
                <w:szCs w:val="24"/>
                <w:color w:val="auto"/>
              </w:rPr>
            </w:pPr>
          </w:p>
        </w:tc>
      </w:tr>
      <w:tr>
        <w:trPr>
          <w:trHeight w:val="207"/>
        </w:trPr>
        <w:tc>
          <w:tcPr>
            <w:tcW w:w="7920" w:type="dxa"/>
            <w:vAlign w:val="bottom"/>
          </w:tcPr>
          <w:p>
            <w:pPr>
              <w:jc w:val="center"/>
              <w:ind w:left="3238"/>
              <w:spacing w:after="0"/>
              <w:rPr>
                <w:sz w:val="20"/>
                <w:szCs w:val="20"/>
                <w:color w:val="auto"/>
              </w:rPr>
            </w:pPr>
            <w:r>
              <w:rPr>
                <w:rFonts w:ascii="Times New Roman" w:cs="Times New Roman" w:eastAsia="Times New Roman" w:hAnsi="Times New Roman"/>
                <w:sz w:val="17"/>
                <w:szCs w:val="17"/>
                <w:b w:val="1"/>
                <w:bCs w:val="1"/>
                <w:color w:val="auto"/>
              </w:rPr>
              <w:t>Atlanta, GA 30308</w:t>
            </w:r>
          </w:p>
        </w:tc>
        <w:tc>
          <w:tcPr>
            <w:tcW w:w="3320" w:type="dxa"/>
            <w:vAlign w:val="bottom"/>
          </w:tcPr>
          <w:p>
            <w:pPr>
              <w:spacing w:after="0"/>
              <w:rPr>
                <w:sz w:val="17"/>
                <w:szCs w:val="17"/>
                <w:color w:val="auto"/>
              </w:rPr>
            </w:pPr>
          </w:p>
        </w:tc>
      </w:tr>
      <w:tr>
        <w:trPr>
          <w:trHeight w:val="159"/>
        </w:trPr>
        <w:tc>
          <w:tcPr>
            <w:tcW w:w="7920" w:type="dxa"/>
            <w:vAlign w:val="bottom"/>
          </w:tcPr>
          <w:p>
            <w:pPr>
              <w:jc w:val="center"/>
              <w:ind w:left="3258"/>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 and zip code)</w:t>
            </w:r>
          </w:p>
        </w:tc>
        <w:tc>
          <w:tcPr>
            <w:tcW w:w="3320" w:type="dxa"/>
            <w:vAlign w:val="bottom"/>
          </w:tcPr>
          <w:p>
            <w:pPr>
              <w:spacing w:after="0"/>
              <w:rPr>
                <w:sz w:val="13"/>
                <w:szCs w:val="13"/>
                <w:color w:val="auto"/>
              </w:rPr>
            </w:pPr>
          </w:p>
        </w:tc>
      </w:tr>
    </w:tbl>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(800) 225-5627</w:t>
      </w:r>
    </w:p>
    <w:p>
      <w:pPr>
        <w:spacing w:after="0" w:line="149" w:lineRule="exact"/>
        <w:rPr>
          <w:sz w:val="24"/>
          <w:szCs w:val="24"/>
          <w:color w:val="auto"/>
        </w:rPr>
      </w:pPr>
    </w:p>
    <w:p>
      <w:pPr>
        <w:ind w:right="20"/>
        <w:spacing w:after="0" w:line="281" w:lineRule="auto"/>
        <w:rPr>
          <w:sz w:val="20"/>
          <w:szCs w:val="20"/>
          <w:color w:val="auto"/>
        </w:rPr>
      </w:pPr>
      <w:r>
        <w:rPr>
          <w:rFonts w:ascii="Times New Roman" w:cs="Times New Roman" w:eastAsia="Times New Roman" w:hAnsi="Times New Roman"/>
          <w:sz w:val="14"/>
          <w:szCs w:val="14"/>
          <w:b w:val="1"/>
          <w:bCs w:val="1"/>
          <w:color w:val="auto"/>
        </w:rPr>
        <w:t>Check the appropriate box below if the Form 8-K filing is intended to simultaneously satisfy the filing obligation of the registrant under any of the following provisions (see General Instruction A.2 below):</w:t>
      </w:r>
    </w:p>
    <w:p>
      <w:pPr>
        <w:spacing w:after="0" w:line="190" w:lineRule="exact"/>
        <w:rPr>
          <w:sz w:val="24"/>
          <w:szCs w:val="24"/>
          <w:color w:val="auto"/>
        </w:rPr>
      </w:pPr>
    </w:p>
    <w:p>
      <w:pPr>
        <w:ind w:left="160" w:hanging="157"/>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Written communications pursuant to Rule 425 under the Securities Act (17 CFR 230.425)</w:t>
      </w:r>
    </w:p>
    <w:p>
      <w:pPr>
        <w:spacing w:after="0" w:line="24" w:lineRule="exact"/>
        <w:rPr>
          <w:rFonts w:ascii="MS PGothic" w:cs="MS PGothic" w:eastAsia="MS PGothic" w:hAnsi="MS PGothic"/>
          <w:sz w:val="14"/>
          <w:szCs w:val="14"/>
          <w:color w:val="auto"/>
        </w:rPr>
      </w:pPr>
    </w:p>
    <w:p>
      <w:pPr>
        <w:ind w:left="160" w:hanging="157"/>
        <w:spacing w:after="0" w:line="230" w:lineRule="auto"/>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Soliciting material pursuant to Rule 14a-12 under the Exchange Act (17 CFR 240.14a-12)</w:t>
      </w:r>
    </w:p>
    <w:p>
      <w:pPr>
        <w:ind w:left="160" w:hanging="157"/>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Pre-commencement communications pursuant to Rule 14d-2(b) under the Exchange Act (17 CFR 240.14d-2(b))</w:t>
      </w:r>
    </w:p>
    <w:p>
      <w:pPr>
        <w:spacing w:after="0" w:line="6" w:lineRule="exact"/>
        <w:rPr>
          <w:rFonts w:ascii="MS PGothic" w:cs="MS PGothic" w:eastAsia="MS PGothic" w:hAnsi="MS PGothic"/>
          <w:sz w:val="14"/>
          <w:szCs w:val="14"/>
          <w:color w:val="auto"/>
        </w:rPr>
      </w:pPr>
    </w:p>
    <w:p>
      <w:pPr>
        <w:ind w:left="160" w:hanging="157"/>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Pre-commencement communications pursuant to Rule 13e-4(c) under the Exchange Act (17 CFR 240.13e-4(c))</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40"/>
          </w:cols>
          <w:pgMar w:left="320" w:top="945" w:right="339" w:bottom="1440" w:gutter="0" w:footer="0" w:header="0"/>
        </w:sectPr>
      </w:pPr>
    </w:p>
    <w:p>
      <w:pPr>
        <w:spacing w:after="0" w:line="303"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195" w:lineRule="exact"/>
        <w:rPr>
          <w:sz w:val="24"/>
          <w:szCs w:val="24"/>
          <w:color w:val="auto"/>
        </w:rPr>
      </w:pPr>
    </w:p>
    <w:p>
      <w:pPr>
        <w:sectPr>
          <w:pgSz w:w="11900" w:h="16838" w:orient="portrait"/>
          <w:cols w:equalWidth="0" w:num="3">
            <w:col w:w="4400" w:space="720"/>
            <w:col w:w="2000" w:space="720"/>
            <w:col w:w="3400"/>
          </w:cols>
          <w:pgMar w:left="320" w:top="945" w:right="33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VYX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80" w:lineRule="exact"/>
        <w:rPr>
          <w:sz w:val="24"/>
          <w:szCs w:val="24"/>
          <w:color w:val="auto"/>
        </w:rPr>
      </w:pPr>
    </w:p>
    <w:p>
      <w:pPr>
        <w:sectPr>
          <w:pgSz w:w="11900" w:h="16838" w:orient="portrait"/>
          <w:cols w:equalWidth="0" w:num="3">
            <w:col w:w="4900" w:space="720"/>
            <w:col w:w="2160" w:space="720"/>
            <w:col w:w="2740"/>
          </w:cols>
          <w:pgMar w:left="320" w:top="945"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Indicate by check mark whether the registrant is an emerging growth company as defined in Rule 405 of the Securities Act of 1933 (§230.405 of this chapter) or Rule 12b-2 of the Securities</w:t>
      </w:r>
    </w:p>
    <w:p>
      <w:pPr>
        <w:spacing w:after="0" w:line="33" w:lineRule="exact"/>
        <w:rPr>
          <w:sz w:val="24"/>
          <w:szCs w:val="24"/>
          <w:color w:val="auto"/>
        </w:rPr>
      </w:pPr>
    </w:p>
    <w:p>
      <w:pPr>
        <w:ind w:left="3100"/>
        <w:spacing w:after="0" w:line="161" w:lineRule="exact"/>
        <w:tabs>
          <w:tab w:leader="none" w:pos="6360" w:val="left"/>
        </w:tabs>
        <w:rPr>
          <w:sz w:val="20"/>
          <w:szCs w:val="20"/>
          <w:color w:val="auto"/>
        </w:rPr>
      </w:pPr>
      <w:r>
        <w:rPr>
          <w:rFonts w:ascii="Times New Roman" w:cs="Times New Roman" w:eastAsia="Times New Roman" w:hAnsi="Times New Roman"/>
          <w:sz w:val="14"/>
          <w:szCs w:val="14"/>
          <w:b w:val="1"/>
          <w:bCs w:val="1"/>
          <w:color w:val="auto"/>
        </w:rPr>
        <w:t>Exchange Act of 1934 (§240.12b-2 of this chapter).</w:t>
      </w:r>
      <w:r>
        <w:rPr>
          <w:sz w:val="20"/>
          <w:szCs w:val="20"/>
          <w:color w:val="auto"/>
        </w:rPr>
        <w:tab/>
      </w:r>
      <w:r>
        <w:rPr>
          <w:rFonts w:ascii="Times New Roman" w:cs="Times New Roman" w:eastAsia="Times New Roman" w:hAnsi="Times New Roman"/>
          <w:sz w:val="13"/>
          <w:szCs w:val="13"/>
          <w:b w:val="1"/>
          <w:bCs w:val="1"/>
          <w:color w:val="auto"/>
        </w:rPr>
        <w:t xml:space="preserve">Emerging growth company </w:t>
      </w:r>
      <w:r>
        <w:rPr>
          <w:rFonts w:ascii="MS PGothic" w:cs="MS PGothic" w:eastAsia="MS PGothic" w:hAnsi="MS PGothic"/>
          <w:sz w:val="13"/>
          <w:szCs w:val="13"/>
          <w:color w:val="auto"/>
        </w:rPr>
        <w:t>☐</w:t>
      </w:r>
    </w:p>
    <w:p>
      <w:pPr>
        <w:spacing w:after="0" w:line="262" w:lineRule="exact"/>
        <w:rPr>
          <w:sz w:val="24"/>
          <w:szCs w:val="24"/>
          <w:color w:val="auto"/>
        </w:rPr>
      </w:pPr>
    </w:p>
    <w:p>
      <w:pPr>
        <w:ind w:right="400"/>
        <w:spacing w:after="0" w:line="279" w:lineRule="auto"/>
        <w:rPr>
          <w:sz w:val="20"/>
          <w:szCs w:val="20"/>
          <w:color w:val="auto"/>
        </w:rPr>
      </w:pPr>
      <w:r>
        <w:rPr>
          <w:rFonts w:ascii="Times New Roman" w:cs="Times New Roman" w:eastAsia="Times New Roman" w:hAnsi="Times New Roman"/>
          <w:sz w:val="14"/>
          <w:szCs w:val="14"/>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509270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21"/>
          <w:szCs w:val="21"/>
          <w:b w:val="1"/>
          <w:bCs w:val="1"/>
          <w:color w:val="auto"/>
        </w:rPr>
        <w:t>Item 2.02.</w:t>
      </w:r>
      <w:r>
        <w:rPr>
          <w:sz w:val="20"/>
          <w:szCs w:val="20"/>
          <w:color w:val="auto"/>
        </w:rPr>
        <w:tab/>
      </w:r>
      <w:r>
        <w:rPr>
          <w:rFonts w:ascii="Times New Roman" w:cs="Times New Roman" w:eastAsia="Times New Roman" w:hAnsi="Times New Roman"/>
          <w:sz w:val="20"/>
          <w:szCs w:val="20"/>
          <w:b w:val="1"/>
          <w:bCs w:val="1"/>
          <w:color w:val="auto"/>
        </w:rPr>
        <w:t>Results of Operations and Financial Condition.</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On November 5, 2026, NCR Voyix Corporation (the “Company”) issued a press release announcing its financial results for the quarter ended September 30, 2026. A copy of the press release is furnished as Exhibit 99.1 to this Current Report on Form 8-K (this “Report”) and is incorporated herein by reference.</w:t>
      </w:r>
    </w:p>
    <w:p>
      <w:pPr>
        <w:spacing w:after="0" w:line="6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1"/>
          <w:szCs w:val="21"/>
          <w:b w:val="1"/>
          <w:bCs w:val="1"/>
          <w:color w:val="auto"/>
        </w:rPr>
        <w:t>Item 7.01.</w:t>
      </w:r>
      <w:r>
        <w:rPr>
          <w:sz w:val="20"/>
          <w:szCs w:val="20"/>
          <w:color w:val="auto"/>
        </w:rPr>
        <w:tab/>
      </w:r>
      <w:r>
        <w:rPr>
          <w:rFonts w:ascii="Times New Roman" w:cs="Times New Roman" w:eastAsia="Times New Roman" w:hAnsi="Times New Roman"/>
          <w:sz w:val="20"/>
          <w:szCs w:val="20"/>
          <w:b w:val="1"/>
          <w:bCs w:val="1"/>
          <w:color w:val="auto"/>
        </w:rPr>
        <w:t>Regulation FD Disclosure.</w:t>
      </w:r>
    </w:p>
    <w:p>
      <w:pPr>
        <w:spacing w:after="0" w:line="12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There will be a conference call at 8:00 a.m. (Eastern) on November 5, 2026, during which management will discuss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s financial results for the quarter ended September 30, 2026.</w:t>
      </w:r>
    </w:p>
    <w:p>
      <w:pPr>
        <w:spacing w:after="0" w:line="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The information in this Report (including Exhibit 99.1) is being furnished pursuant to Item 2.02 and Item 7.01 and shall not be deemed to be “filed” for purposes of Section 18 of the Securities Exchange Act of 1934, as amended (the “Exchange Act”), or otherwise subject to the liabilities of that section, nor shall it be deemed to be incorporated by reference in any filing under the Securities Act of 1933, as amended, or the Exchange Act.</w:t>
      </w:r>
    </w:p>
    <w:p>
      <w:pPr>
        <w:spacing w:after="0" w:line="6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1"/>
          <w:szCs w:val="21"/>
          <w:b w:val="1"/>
          <w:bCs w:val="1"/>
          <w:color w:val="auto"/>
        </w:rPr>
        <w:t>Item 9.01.</w:t>
      </w:r>
      <w:r>
        <w:rPr>
          <w:sz w:val="20"/>
          <w:szCs w:val="20"/>
          <w:color w:val="auto"/>
        </w:rPr>
        <w:tab/>
      </w:r>
      <w:r>
        <w:rPr>
          <w:rFonts w:ascii="Times New Roman" w:cs="Times New Roman" w:eastAsia="Times New Roman" w:hAnsi="Times New Roman"/>
          <w:sz w:val="20"/>
          <w:szCs w:val="20"/>
          <w:b w:val="1"/>
          <w:bCs w:val="1"/>
          <w:color w:val="auto"/>
        </w:rPr>
        <w:t>Financial Statements and Exhibits.</w:t>
      </w:r>
    </w:p>
    <w:p>
      <w:pPr>
        <w:spacing w:after="0" w:line="240" w:lineRule="exact"/>
        <w:rPr>
          <w:sz w:val="20"/>
          <w:szCs w:val="20"/>
          <w:color w:val="auto"/>
        </w:rPr>
      </w:pPr>
    </w:p>
    <w:p>
      <w:pPr>
        <w:ind w:left="460" w:hanging="457"/>
        <w:spacing w:after="0"/>
        <w:tabs>
          <w:tab w:leader="none" w:pos="46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Exhibits: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exhibits are attached with this current report on Form 8-K:</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Exhibit No.</w:t>
            </w:r>
          </w:p>
        </w:tc>
        <w:tc>
          <w:tcPr>
            <w:tcW w:w="954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Description</w:t>
            </w: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21"/>
                <w:szCs w:val="21"/>
                <w:color w:val="auto"/>
              </w:rPr>
              <w:t>99.1</w:t>
            </w:r>
          </w:p>
        </w:tc>
        <w:tc>
          <w:tcPr>
            <w:tcW w:w="720" w:type="dxa"/>
            <w:vAlign w:val="bottom"/>
          </w:tcPr>
          <w:p>
            <w:pPr>
              <w:spacing w:after="0"/>
              <w:rPr>
                <w:sz w:val="21"/>
                <w:szCs w:val="21"/>
                <w:color w:val="auto"/>
              </w:rPr>
            </w:pPr>
          </w:p>
        </w:tc>
        <w:tc>
          <w:tcPr>
            <w:tcW w:w="9540" w:type="dxa"/>
            <w:vAlign w:val="bottom"/>
            <w:gridSpan w:val="3"/>
          </w:tcPr>
          <w:p>
            <w:pPr>
              <w:spacing w:after="0"/>
              <w:rPr>
                <w:sz w:val="20"/>
                <w:szCs w:val="20"/>
                <w:color w:val="auto"/>
              </w:rPr>
            </w:pPr>
            <w:r>
              <w:rPr>
                <w:rFonts w:ascii="Times New Roman" w:cs="Times New Roman" w:eastAsia="Times New Roman" w:hAnsi="Times New Roman"/>
                <w:sz w:val="21"/>
                <w:szCs w:val="21"/>
                <w:color w:val="0000FF"/>
              </w:rPr>
              <w:t>Press Release issued by the Company, dated November 5, 2026</w:t>
            </w:r>
          </w:p>
        </w:tc>
      </w:tr>
      <w:tr>
        <w:trPr>
          <w:trHeight w:val="20"/>
        </w:trPr>
        <w:tc>
          <w:tcPr>
            <w:tcW w:w="9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40" w:type="dxa"/>
            <w:vAlign w:val="bottom"/>
            <w:gridSpan w:val="2"/>
            <w:shd w:val="clear" w:color="auto" w:fill="0000FF"/>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300"/>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104</w:t>
            </w:r>
          </w:p>
        </w:tc>
        <w:tc>
          <w:tcPr>
            <w:tcW w:w="720" w:type="dxa"/>
            <w:vAlign w:val="bottom"/>
          </w:tcPr>
          <w:p>
            <w:pPr>
              <w:spacing w:after="0"/>
              <w:rPr>
                <w:sz w:val="24"/>
                <w:szCs w:val="24"/>
                <w:color w:val="auto"/>
              </w:rPr>
            </w:pPr>
          </w:p>
        </w:tc>
        <w:tc>
          <w:tcPr>
            <w:tcW w:w="954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Cover Page Interactive Data File (embedded within the Inline XBRL document)</w:t>
            </w:r>
          </w:p>
        </w:tc>
      </w:tr>
      <w:tr>
        <w:trPr>
          <w:trHeight w:val="1014"/>
        </w:trPr>
        <w:tc>
          <w:tcPr>
            <w:tcW w:w="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SIGNATURES</w:t>
      </w:r>
    </w:p>
    <w:p>
      <w:pPr>
        <w:spacing w:after="0" w:line="123"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1"/>
          <w:szCs w:val="21"/>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1"/>
          <w:szCs w:val="21"/>
          <w:color w:val="auto"/>
        </w:rPr>
        <w:t>NCR Voyix Corporation</w:t>
      </w:r>
    </w:p>
    <w:p>
      <w:pPr>
        <w:spacing w:after="0" w:line="236" w:lineRule="exact"/>
        <w:rPr>
          <w:sz w:val="20"/>
          <w:szCs w:val="20"/>
          <w:color w:val="auto"/>
        </w:rPr>
      </w:pPr>
    </w:p>
    <w:p>
      <w:pPr>
        <w:ind w:left="6120"/>
        <w:spacing w:after="0"/>
        <w:tabs>
          <w:tab w:leader="none" w:pos="6720" w:val="left"/>
        </w:tabs>
        <w:rPr>
          <w:sz w:val="20"/>
          <w:szCs w:val="20"/>
          <w:color w:val="auto"/>
        </w:rPr>
      </w:pPr>
      <w:r>
        <w:rPr>
          <w:rFonts w:ascii="Times New Roman" w:cs="Times New Roman" w:eastAsia="Times New Roman" w:hAnsi="Times New Roman"/>
          <w:sz w:val="21"/>
          <w:szCs w:val="21"/>
          <w:color w:val="auto"/>
        </w:rPr>
        <w:t>By:</w:t>
        <w:tab/>
        <w:t>/s/ Brian Webb-Walsh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18415</wp:posOffset>
            </wp:positionV>
            <wp:extent cx="2865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65120" cy="8255"/>
                    </a:xfrm>
                    <a:prstGeom prst="rect">
                      <a:avLst/>
                    </a:prstGeom>
                    <a:noFill/>
                  </pic:spPr>
                </pic:pic>
              </a:graphicData>
            </a:graphic>
          </wp:anchor>
        </w:drawing>
      </w:r>
    </w:p>
    <w:p>
      <w:pPr>
        <w:spacing w:after="0" w:line="2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Brian Webb-Walsh</w:t>
      </w:r>
    </w:p>
    <w:p>
      <w:pPr>
        <w:spacing w:after="0" w:line="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November 5, 2026</w:t>
      </w:r>
    </w:p>
    <w:p>
      <w:pPr>
        <w:sectPr>
          <w:pgSz w:w="11900" w:h="16838" w:orient="portrait"/>
          <w:cols w:equalWidth="0" w:num="1">
            <w:col w:w="11220"/>
          </w:cols>
          <w:pgMar w:left="320" w:top="1296"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727710</wp:posOffset>
            </wp:positionV>
            <wp:extent cx="1727200" cy="540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727200" cy="54038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NEWS RELEASE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NCR Voyix Reports Third Quarter 2026 Results</w:t>
      </w:r>
    </w:p>
    <w:p>
      <w:pPr>
        <w:spacing w:after="0" w:line="200" w:lineRule="exact"/>
        <w:rPr>
          <w:sz w:val="20"/>
          <w:szCs w:val="20"/>
          <w:color w:val="auto"/>
        </w:rPr>
      </w:pPr>
    </w:p>
    <w:p>
      <w:pPr>
        <w:spacing w:after="0" w:line="28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9"/>
          <w:szCs w:val="19"/>
          <w:b w:val="1"/>
          <w:bCs w:val="1"/>
          <w:color w:val="auto"/>
        </w:rPr>
        <w:t xml:space="preserve">ATLANTA, November 5, 2026 </w:t>
      </w:r>
      <w:r>
        <w:rPr>
          <w:rFonts w:ascii="Times New Roman" w:cs="Times New Roman" w:eastAsia="Times New Roman" w:hAnsi="Times New Roman"/>
          <w:sz w:val="19"/>
          <w:szCs w:val="19"/>
          <w:color w:val="auto"/>
        </w:rPr>
        <w:t>- NCR Voyix Corporation (NYSE: VYX) (“NCR Voyix” or the “Company”), a platform-powered leader in unified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commerce for shopping and dining, reported financial results today for the three and nine months ended September 30,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Third Quarter Financial Highlights</w:t>
      </w:r>
    </w:p>
    <w:p>
      <w:pPr>
        <w:spacing w:after="0" w:line="237" w:lineRule="exact"/>
        <w:rPr>
          <w:sz w:val="20"/>
          <w:szCs w:val="20"/>
          <w:color w:val="auto"/>
        </w:rPr>
      </w:pPr>
    </w:p>
    <w:p>
      <w:pPr>
        <w:ind w:left="620" w:hanging="307"/>
        <w:spacing w:after="0" w:line="258" w:lineRule="auto"/>
        <w:tabs>
          <w:tab w:leader="none" w:pos="60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Revenue was $539 million compared to $677 million in the prior year period, which reflects the impact of the Hardware Business Transition.</w:t>
      </w:r>
    </w:p>
    <w:p>
      <w:pPr>
        <w:spacing w:after="0" w:line="1"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Software and services revenue was $500 million compared to $500 million in the prior year period.</w:t>
      </w:r>
    </w:p>
    <w:p>
      <w:pPr>
        <w:spacing w:after="0" w:line="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Recurring revenue was $428 million compared to $422 million in the prior year period.</w:t>
      </w:r>
    </w:p>
    <w:p>
      <w:pPr>
        <w:spacing w:after="0" w:line="13"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Recurring software revenue was $208 million compared to $202 million in the prior year period.</w:t>
      </w:r>
    </w:p>
    <w:p>
      <w:pPr>
        <w:spacing w:after="0" w:line="8" w:lineRule="exact"/>
        <w:rPr>
          <w:rFonts w:ascii="Times New Roman" w:cs="Times New Roman" w:eastAsia="Times New Roman" w:hAnsi="Times New Roman"/>
          <w:sz w:val="19"/>
          <w:szCs w:val="19"/>
          <w:color w:val="auto"/>
        </w:rPr>
      </w:pPr>
    </w:p>
    <w:p>
      <w:pPr>
        <w:ind w:left="620" w:hanging="307"/>
        <w:spacing w:after="0" w:line="247" w:lineRule="auto"/>
        <w:tabs>
          <w:tab w:leader="none" w:pos="60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Net income from continuing operations attributable to NCR Voyix was $14 million, compared with $18 million net loss from continuing operations attributable to NCR Voyix in the prior year period.</w:t>
      </w:r>
    </w:p>
    <w:p>
      <w:pPr>
        <w:spacing w:after="0" w:line="1"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Diluted EPS from continuing operations was $0.08 compared to $(0.15) in the prior year period.</w:t>
      </w:r>
    </w:p>
    <w:p>
      <w:pPr>
        <w:spacing w:after="0" w:line="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Adjusted EBITDA was $120 million compared to $123 million in the prior year period.</w:t>
      </w:r>
    </w:p>
    <w:p>
      <w:pPr>
        <w:spacing w:after="0" w:line="13"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Non-GAAP diluted EPS was $0.32 compared to $0.30 in the prior year period.</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“Our third quarter results were in line with our expectations, with our strong customer signings reflecting increasing demand for our Voyix Commerce Platform applications,” said James G. Kelly, Chief Executive Officer of NCR Voyix. “The growth in remaining contract value, coupled with the progress we have made in scaling our deployments, reinforces our confidence in the opportunity ahead.”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Recent Business Highlights and Additional Information</w:t>
      </w:r>
    </w:p>
    <w:p>
      <w:pPr>
        <w:spacing w:after="0" w:line="250" w:lineRule="exact"/>
        <w:rPr>
          <w:sz w:val="20"/>
          <w:szCs w:val="20"/>
          <w:color w:val="auto"/>
        </w:rPr>
      </w:pPr>
    </w:p>
    <w:p>
      <w:pPr>
        <w:ind w:left="620" w:hanging="307"/>
        <w:spacing w:after="0" w:line="254" w:lineRule="auto"/>
        <w:tabs>
          <w:tab w:leader="none" w:pos="609"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announced it had signed platform agreements with six enterprise customers, including Ahold Delhaize USA, A.S. Watson, Bruster’s Real Ice Cream, First Watch, Rutter’s, and Sbarro.</w:t>
      </w:r>
    </w:p>
    <w:p>
      <w:pPr>
        <w:spacing w:after="0" w:line="1"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announced the first deployment of Aloha Next, with the application now live at the Bruster's Bridgewater location.</w:t>
      </w:r>
    </w:p>
    <w:p>
      <w:pPr>
        <w:spacing w:after="0" w:line="8" w:lineRule="exact"/>
        <w:rPr>
          <w:rFonts w:ascii="Times New Roman" w:cs="Times New Roman" w:eastAsia="Times New Roman" w:hAnsi="Times New Roman"/>
          <w:sz w:val="19"/>
          <w:szCs w:val="19"/>
          <w:color w:val="auto"/>
        </w:rPr>
      </w:pPr>
    </w:p>
    <w:p>
      <w:pPr>
        <w:ind w:left="620" w:hanging="307"/>
        <w:spacing w:after="0" w:line="261" w:lineRule="auto"/>
        <w:tabs>
          <w:tab w:leader="none" w:pos="609"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Remaining Contract Value for the Company’s Voyix Commerce Platform applications was approximately $440 million as of September 30, 2026, an increase of 151% compared to the prior year and 54% sequentially.</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9"/>
          <w:szCs w:val="19"/>
          <w:b w:val="1"/>
          <w:bCs w:val="1"/>
          <w:color w:val="auto"/>
        </w:rPr>
        <w:t>2026 Outlook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the full-year 2026, the Company is maintaining its outlook as follows:</w:t>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6120" w:type="dxa"/>
            <w:vAlign w:val="bottom"/>
          </w:tcPr>
          <w:p>
            <w:pPr>
              <w:spacing w:after="0"/>
              <w:rPr>
                <w:sz w:val="20"/>
                <w:szCs w:val="20"/>
                <w:color w:val="auto"/>
              </w:rPr>
            </w:pPr>
            <w:r>
              <w:rPr>
                <w:rFonts w:ascii="Times New Roman" w:cs="Times New Roman" w:eastAsia="Times New Roman" w:hAnsi="Times New Roman"/>
                <w:sz w:val="17"/>
                <w:szCs w:val="17"/>
                <w:i w:val="1"/>
                <w:iCs w:val="1"/>
                <w:color w:val="1B1E1F"/>
              </w:rPr>
              <w:t>$ in millions (except EPS)</w:t>
            </w:r>
          </w:p>
        </w:tc>
        <w:tc>
          <w:tcPr>
            <w:tcW w:w="2880" w:type="dxa"/>
            <w:vAlign w:val="bottom"/>
            <w:gridSpan w:val="2"/>
          </w:tcPr>
          <w:p>
            <w:pPr>
              <w:ind w:left="1460"/>
              <w:spacing w:after="0"/>
              <w:rPr>
                <w:sz w:val="20"/>
                <w:szCs w:val="20"/>
                <w:color w:val="auto"/>
              </w:rPr>
            </w:pPr>
            <w:r>
              <w:rPr>
                <w:rFonts w:ascii="Times New Roman" w:cs="Times New Roman" w:eastAsia="Times New Roman" w:hAnsi="Times New Roman"/>
                <w:sz w:val="19"/>
                <w:szCs w:val="19"/>
                <w:b w:val="1"/>
                <w:bCs w:val="1"/>
                <w:color w:val="1B1E1F"/>
              </w:rPr>
              <w:t>Range</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9"/>
                <w:szCs w:val="19"/>
                <w:b w:val="1"/>
                <w:bCs w:val="1"/>
                <w:color w:val="1B1E1F"/>
              </w:rPr>
              <w:t>YoY % Change</w:t>
            </w:r>
          </w:p>
        </w:tc>
      </w:tr>
      <w:tr>
        <w:trPr>
          <w:trHeight w:val="297"/>
        </w:trPr>
        <w:tc>
          <w:tcPr>
            <w:tcW w:w="6120" w:type="dxa"/>
            <w:vAlign w:val="bottom"/>
          </w:tcPr>
          <w:p>
            <w:pPr>
              <w:spacing w:after="0"/>
              <w:rPr>
                <w:sz w:val="20"/>
                <w:szCs w:val="20"/>
                <w:color w:val="auto"/>
              </w:rPr>
            </w:pPr>
            <w:r>
              <w:rPr>
                <w:rFonts w:ascii="Times New Roman" w:cs="Times New Roman" w:eastAsia="Times New Roman" w:hAnsi="Times New Roman"/>
                <w:sz w:val="19"/>
                <w:szCs w:val="19"/>
                <w:color w:val="1B1E1F"/>
              </w:rPr>
              <w:t>Revenue</w:t>
            </w:r>
            <w:r>
              <w:rPr>
                <w:rFonts w:ascii="Times New Roman" w:cs="Times New Roman" w:eastAsia="Times New Roman" w:hAnsi="Times New Roman"/>
                <w:sz w:val="24"/>
                <w:szCs w:val="24"/>
                <w:color w:val="1B1E1F"/>
                <w:vertAlign w:val="superscript"/>
              </w:rPr>
              <w:t>1,2</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1B1E1F"/>
              </w:rPr>
              <w:t>$2,188</w:t>
            </w:r>
          </w:p>
        </w:tc>
        <w:tc>
          <w:tcPr>
            <w:tcW w:w="1220" w:type="dxa"/>
            <w:vAlign w:val="bottom"/>
          </w:tcPr>
          <w:p>
            <w:pPr>
              <w:ind w:left="20"/>
              <w:spacing w:after="0"/>
              <w:rPr>
                <w:sz w:val="20"/>
                <w:szCs w:val="20"/>
                <w:color w:val="auto"/>
              </w:rPr>
            </w:pPr>
            <w:r>
              <w:rPr>
                <w:rFonts w:ascii="Times New Roman" w:cs="Times New Roman" w:eastAsia="Times New Roman" w:hAnsi="Times New Roman"/>
                <w:sz w:val="19"/>
                <w:szCs w:val="19"/>
                <w:color w:val="1B1E1F"/>
              </w:rPr>
              <w:t>- $2,303</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1B1E1F"/>
              </w:rPr>
              <w:t>(18%)</w:t>
            </w:r>
          </w:p>
        </w:tc>
        <w:tc>
          <w:tcPr>
            <w:tcW w:w="680" w:type="dxa"/>
            <w:vAlign w:val="bottom"/>
          </w:tcPr>
          <w:p>
            <w:pPr>
              <w:ind w:left="20"/>
              <w:spacing w:after="0"/>
              <w:rPr>
                <w:sz w:val="20"/>
                <w:szCs w:val="20"/>
                <w:color w:val="auto"/>
              </w:rPr>
            </w:pPr>
            <w:r>
              <w:rPr>
                <w:rFonts w:ascii="Times New Roman" w:cs="Times New Roman" w:eastAsia="Times New Roman" w:hAnsi="Times New Roman"/>
                <w:sz w:val="19"/>
                <w:szCs w:val="19"/>
                <w:color w:val="1B1E1F"/>
              </w:rPr>
              <w:t>- (13%)</w:t>
            </w:r>
          </w:p>
        </w:tc>
      </w:tr>
      <w:tr>
        <w:trPr>
          <w:trHeight w:val="271"/>
        </w:trPr>
        <w:tc>
          <w:tcPr>
            <w:tcW w:w="6120" w:type="dxa"/>
            <w:vAlign w:val="bottom"/>
          </w:tcPr>
          <w:p>
            <w:pPr>
              <w:ind w:left="100"/>
              <w:spacing w:after="0" w:line="271" w:lineRule="exact"/>
              <w:rPr>
                <w:sz w:val="20"/>
                <w:szCs w:val="20"/>
                <w:color w:val="auto"/>
              </w:rPr>
            </w:pPr>
            <w:r>
              <w:rPr>
                <w:rFonts w:ascii="Times New Roman" w:cs="Times New Roman" w:eastAsia="Times New Roman" w:hAnsi="Times New Roman"/>
                <w:sz w:val="19"/>
                <w:szCs w:val="19"/>
                <w:color w:val="1B1E1F"/>
              </w:rPr>
              <w:t>Pro Forma for Hardware Transition Impact</w:t>
            </w:r>
            <w:r>
              <w:rPr>
                <w:rFonts w:ascii="Times New Roman" w:cs="Times New Roman" w:eastAsia="Times New Roman" w:hAnsi="Times New Roman"/>
                <w:sz w:val="24"/>
                <w:szCs w:val="24"/>
                <w:color w:val="1B1E1F"/>
                <w:vertAlign w:val="superscript"/>
              </w:rPr>
              <w:t>1</w:t>
            </w:r>
          </w:p>
        </w:tc>
        <w:tc>
          <w:tcPr>
            <w:tcW w:w="16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820" w:type="dxa"/>
            <w:vAlign w:val="bottom"/>
            <w:gridSpan w:val="2"/>
          </w:tcPr>
          <w:p>
            <w:pPr>
              <w:jc w:val="right"/>
              <w:ind w:right="146"/>
              <w:spacing w:after="0"/>
              <w:rPr>
                <w:sz w:val="20"/>
                <w:szCs w:val="20"/>
                <w:color w:val="auto"/>
              </w:rPr>
            </w:pPr>
            <w:r>
              <w:rPr>
                <w:rFonts w:ascii="Times New Roman" w:cs="Times New Roman" w:eastAsia="Times New Roman" w:hAnsi="Times New Roman"/>
                <w:sz w:val="19"/>
                <w:szCs w:val="19"/>
                <w:color w:val="1B1E1F"/>
              </w:rPr>
              <w:t>(2%) - 3%</w:t>
            </w:r>
          </w:p>
        </w:tc>
      </w:tr>
      <w:tr>
        <w:trPr>
          <w:trHeight w:val="244"/>
        </w:trPr>
        <w:tc>
          <w:tcPr>
            <w:tcW w:w="6120" w:type="dxa"/>
            <w:vAlign w:val="bottom"/>
          </w:tcPr>
          <w:p>
            <w:pPr>
              <w:spacing w:after="0"/>
              <w:rPr>
                <w:sz w:val="20"/>
                <w:szCs w:val="20"/>
                <w:color w:val="auto"/>
              </w:rPr>
            </w:pPr>
            <w:r>
              <w:rPr>
                <w:rFonts w:ascii="Times New Roman" w:cs="Times New Roman" w:eastAsia="Times New Roman" w:hAnsi="Times New Roman"/>
                <w:sz w:val="19"/>
                <w:szCs w:val="19"/>
                <w:color w:val="1B1E1F"/>
              </w:rPr>
              <w:t>Adjusted EBITDA</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1B1E1F"/>
              </w:rPr>
              <w:t>$432</w:t>
            </w:r>
          </w:p>
        </w:tc>
        <w:tc>
          <w:tcPr>
            <w:tcW w:w="1220" w:type="dxa"/>
            <w:vAlign w:val="bottom"/>
          </w:tcPr>
          <w:p>
            <w:pPr>
              <w:ind w:left="20"/>
              <w:spacing w:after="0"/>
              <w:rPr>
                <w:sz w:val="20"/>
                <w:szCs w:val="20"/>
                <w:color w:val="auto"/>
              </w:rPr>
            </w:pPr>
            <w:r>
              <w:rPr>
                <w:rFonts w:ascii="Times New Roman" w:cs="Times New Roman" w:eastAsia="Times New Roman" w:hAnsi="Times New Roman"/>
                <w:sz w:val="19"/>
                <w:szCs w:val="19"/>
                <w:color w:val="1B1E1F"/>
              </w:rPr>
              <w:t>- $447</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1B1E1F"/>
              </w:rPr>
              <w:t>3%</w:t>
            </w:r>
          </w:p>
        </w:tc>
        <w:tc>
          <w:tcPr>
            <w:tcW w:w="680" w:type="dxa"/>
            <w:vAlign w:val="bottom"/>
          </w:tcPr>
          <w:p>
            <w:pPr>
              <w:ind w:left="20"/>
              <w:spacing w:after="0"/>
              <w:rPr>
                <w:sz w:val="20"/>
                <w:szCs w:val="20"/>
                <w:color w:val="auto"/>
              </w:rPr>
            </w:pPr>
            <w:r>
              <w:rPr>
                <w:rFonts w:ascii="Times New Roman" w:cs="Times New Roman" w:eastAsia="Times New Roman" w:hAnsi="Times New Roman"/>
                <w:sz w:val="19"/>
                <w:szCs w:val="19"/>
                <w:color w:val="1B1E1F"/>
              </w:rPr>
              <w:t>- 7%</w:t>
            </w:r>
          </w:p>
        </w:tc>
      </w:tr>
      <w:tr>
        <w:trPr>
          <w:trHeight w:val="271"/>
        </w:trPr>
        <w:tc>
          <w:tcPr>
            <w:tcW w:w="6120" w:type="dxa"/>
            <w:vAlign w:val="bottom"/>
          </w:tcPr>
          <w:p>
            <w:pPr>
              <w:spacing w:after="0"/>
              <w:rPr>
                <w:sz w:val="20"/>
                <w:szCs w:val="20"/>
                <w:color w:val="auto"/>
              </w:rPr>
            </w:pPr>
            <w:r>
              <w:rPr>
                <w:rFonts w:ascii="Times New Roman" w:cs="Times New Roman" w:eastAsia="Times New Roman" w:hAnsi="Times New Roman"/>
                <w:sz w:val="19"/>
                <w:szCs w:val="19"/>
                <w:color w:val="1B1E1F"/>
              </w:rPr>
              <w:t>Non-GAAP Diluted EPS</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1B1E1F"/>
              </w:rPr>
              <w:t>$0.89</w:t>
            </w:r>
          </w:p>
        </w:tc>
        <w:tc>
          <w:tcPr>
            <w:tcW w:w="1220" w:type="dxa"/>
            <w:vAlign w:val="bottom"/>
          </w:tcPr>
          <w:p>
            <w:pPr>
              <w:ind w:left="20"/>
              <w:spacing w:after="0"/>
              <w:rPr>
                <w:sz w:val="20"/>
                <w:szCs w:val="20"/>
                <w:color w:val="auto"/>
              </w:rPr>
            </w:pPr>
            <w:r>
              <w:rPr>
                <w:rFonts w:ascii="Times New Roman" w:cs="Times New Roman" w:eastAsia="Times New Roman" w:hAnsi="Times New Roman"/>
                <w:sz w:val="19"/>
                <w:szCs w:val="19"/>
                <w:color w:val="1B1E1F"/>
              </w:rPr>
              <w:t>- $0.92</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1B1E1F"/>
              </w:rPr>
              <w:t>3%</w:t>
            </w:r>
          </w:p>
        </w:tc>
        <w:tc>
          <w:tcPr>
            <w:tcW w:w="680" w:type="dxa"/>
            <w:vAlign w:val="bottom"/>
          </w:tcPr>
          <w:p>
            <w:pPr>
              <w:ind w:left="20"/>
              <w:spacing w:after="0"/>
              <w:rPr>
                <w:sz w:val="20"/>
                <w:szCs w:val="20"/>
                <w:color w:val="auto"/>
              </w:rPr>
            </w:pPr>
            <w:r>
              <w:rPr>
                <w:rFonts w:ascii="Times New Roman" w:cs="Times New Roman" w:eastAsia="Times New Roman" w:hAnsi="Times New Roman"/>
                <w:sz w:val="19"/>
                <w:szCs w:val="19"/>
                <w:color w:val="1B1E1F"/>
              </w:rPr>
              <w:t>- 7%</w:t>
            </w:r>
          </w:p>
        </w:tc>
      </w:tr>
      <w:tr>
        <w:trPr>
          <w:trHeight w:val="271"/>
        </w:trPr>
        <w:tc>
          <w:tcPr>
            <w:tcW w:w="6120" w:type="dxa"/>
            <w:vAlign w:val="bottom"/>
          </w:tcPr>
          <w:p>
            <w:pPr>
              <w:spacing w:after="0"/>
              <w:rPr>
                <w:sz w:val="20"/>
                <w:szCs w:val="20"/>
                <w:color w:val="auto"/>
              </w:rPr>
            </w:pPr>
            <w:r>
              <w:rPr>
                <w:rFonts w:ascii="Times New Roman" w:cs="Times New Roman" w:eastAsia="Times New Roman" w:hAnsi="Times New Roman"/>
                <w:sz w:val="19"/>
                <w:szCs w:val="19"/>
                <w:color w:val="1B1E1F"/>
              </w:rPr>
              <w:t>Adjusted Free Cash Flow-Unrestricted Before Restructuring Costs</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1B1E1F"/>
              </w:rPr>
              <w:t>$190</w:t>
            </w:r>
          </w:p>
        </w:tc>
        <w:tc>
          <w:tcPr>
            <w:tcW w:w="1220" w:type="dxa"/>
            <w:vAlign w:val="bottom"/>
          </w:tcPr>
          <w:p>
            <w:pPr>
              <w:ind w:left="20"/>
              <w:spacing w:after="0"/>
              <w:rPr>
                <w:sz w:val="20"/>
                <w:szCs w:val="20"/>
                <w:color w:val="auto"/>
              </w:rPr>
            </w:pPr>
            <w:r>
              <w:rPr>
                <w:rFonts w:ascii="Times New Roman" w:cs="Times New Roman" w:eastAsia="Times New Roman" w:hAnsi="Times New Roman"/>
                <w:sz w:val="19"/>
                <w:szCs w:val="19"/>
                <w:color w:val="1B1E1F"/>
              </w:rPr>
              <w:t>- $220</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1B1E1F"/>
              </w:rPr>
              <w:t>40%</w:t>
            </w:r>
          </w:p>
        </w:tc>
        <w:tc>
          <w:tcPr>
            <w:tcW w:w="680" w:type="dxa"/>
            <w:vAlign w:val="bottom"/>
          </w:tcPr>
          <w:p>
            <w:pPr>
              <w:ind w:left="20"/>
              <w:spacing w:after="0"/>
              <w:rPr>
                <w:sz w:val="20"/>
                <w:szCs w:val="20"/>
                <w:color w:val="auto"/>
              </w:rPr>
            </w:pPr>
            <w:r>
              <w:rPr>
                <w:rFonts w:ascii="Times New Roman" w:cs="Times New Roman" w:eastAsia="Times New Roman" w:hAnsi="Times New Roman"/>
                <w:sz w:val="19"/>
                <w:szCs w:val="19"/>
                <w:color w:val="1B1E1F"/>
              </w:rPr>
              <w:t>- 62%</w:t>
            </w:r>
          </w:p>
        </w:tc>
      </w:tr>
    </w:tbl>
    <w:p>
      <w:pPr>
        <w:spacing w:after="0" w:line="78" w:lineRule="exact"/>
        <w:rPr>
          <w:sz w:val="20"/>
          <w:szCs w:val="20"/>
          <w:color w:val="auto"/>
        </w:rPr>
      </w:pPr>
    </w:p>
    <w:p>
      <w:pPr>
        <w:jc w:val="both"/>
        <w:ind w:firstLine="3"/>
        <w:spacing w:after="0" w:line="220" w:lineRule="auto"/>
        <w:tabs>
          <w:tab w:leader="none" w:pos="67"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Revenue reflects gross hardware revenue recognition in the first quarter of 2026 and net sales commission revenue recognition for the remaining periods given the completion of the Hardware Business Transition at the end of Q1 2026. The year-over-year change of (18%) - (13%) reflects the impact of the Hardware Business Transition for Q2 2026 through Q4 2026. To provide a better comparison of the Company’s ongoing performance, the pro forma year-over-year change of (2%) - 3% reflects a comparison of GAAP revenue for 2026 to pro forma 2025 results, adjusted to apply the pro forma impact of the Hardware Business Transition in Q2 2025 through Q4 2025.</w:t>
      </w:r>
    </w:p>
    <w:p>
      <w:pPr>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4"/>
          <w:szCs w:val="14"/>
          <w:color w:val="auto"/>
        </w:rPr>
        <w:t xml:space="preserve"> The Company now expects revenue for the full year 2026 to be at the lower end of the range of $2,188 million to $2,303 million.</w:t>
      </w:r>
    </w:p>
    <w:p>
      <w:pPr>
        <w:spacing w:after="0" w:line="200" w:lineRule="exact"/>
        <w:rPr>
          <w:sz w:val="20"/>
          <w:szCs w:val="20"/>
          <w:color w:val="auto"/>
        </w:rPr>
      </w:pPr>
    </w:p>
    <w:p>
      <w:pPr>
        <w:spacing w:after="0" w:line="3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In this release, we use certain non-GAAP measures. These non-GAAP measures include “Revenue, Pro Forma for Hardware Transition Impact,” “Adjusted EBITDA,” “Adjusted Free Cash Flow-Unrestricted,” “Adjusted Free Cash Flow-Unrestricted Before Restructuring Costs,” “Non-GAAP Diluted EPS,” and others with the words “non-GAAP” in their titles. These non-GAAP measures are listed, described and reconciled for historic periods to their most directly comparable GAAP measures under the heading “Non-GAAP Financial Measures” later in this release. With respect to our outlook for full year 2026 for our Adjusted EBITDA, Non-GAAP Diluted EPS and Adjusted Free Cash Flow-Unrestricted Before Restructuring Costs, we do not provide a reconciliation to each of their most directly comparable GAAP measure because we are not able to predict with reasonable certainty the reconciling items that may affect the GAAP net income from continuing operations and GAAP cash flow provided by (used in) operating activities without unreasonable effort. The reconciling items are primarily the future impact of special tax items, capital structure transactions, restructuring, pension mark-to-market transactions, acquisitions or divestitures, or other events. These reconciling items are uncertain, depend on various factors and could significantly impact, either individually or in the aggregate, the GAAP measures. The Company also believes such reconciliations would imply a degree of precision that could be confusing or misleading to investors.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20" w:top="112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auto"/>
        </w:rPr>
        <w:t>Cautionary Statements</w:t>
      </w:r>
    </w:p>
    <w:p>
      <w:pPr>
        <w:spacing w:after="0" w:line="23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7"/>
          <w:szCs w:val="17"/>
          <w:color w:val="auto"/>
        </w:rPr>
        <w:t>This release contains “forward-looking statements” within the meaning of the Private Securities Litigation Reform Act of 1995 (the “Act”), Section 27A of the Securities Act of 1933, and Section 21E of the Securities Exchange Act of 1934. Forward-looking statements may appear throughout this release and can generally be identified by words such as “expect,” “target,” “anticipates,” “outlook,” “guidance,” “intend,” “plan,” “believe,” “will,” “should,” “would,” “potential,” “forecast,” “proposed,” “planned,” “objective,” “estimate,” “expected,” “likely,” “could,” “may,” and similar expressions referencing future events, conditions or circumstances. We intend for these forward-looking statements to be covered by the safe harbor provisions contained in the Act that are applicable to forward-looking statements. Examples of forward-looking statements include, without limitation, the Company’s plans, strategies, projections, future financial or operational results, events, trends, and economic and other future conditions. Forward-looking statements in this release include, without limitation, statements regarding: the Company’s expectations regarding its fiscal 2026 performance outlook; the Company’s plans, strategies, projections, future financial or operational results, events, trends, and economic and other future conditions; the Company’s plans, strategies, or objectives for future operations and offerings, including the Company’s suite of microservices-based applications, and its Voyix Commerce Platform; the estimated or anticipated future results and benefits of the Company’s plans and operations; the Company’s expectations regarding innovation, intelligent automation, and agentic AI and its impact on the Company’s performance; the Company’s expectations of demand for its solutions and service offerings; and statements regarding the Company’s ability to deliver increased value to customers and stockholders. Forward-looking statements are based solely on management’s current beliefs, expectations and assumptions, whether express or implied, regarding the future, which may prove to be inaccurate. Actual results could differ materially from expectations expressed or implied by such forward-looking statements due to a number of factors, such as the risks and uncertainties, including, but not limited to, the following: our ability to successfully execute our growth strategy; our ability to successfully develop new solutions that achieve market acceptance and keep pace with technological developments; our ability to maintain a consistently high level of customer service; our ability to achieve some or all of the expected benefits of our cost reduction initiatives; the success of our strategic relationships with third parties and our ability to integrate with third-party applications and software; risks related to tariffs, sanctions and trade barriers, and the related impact on macroeconomic conditions; the availability or applicability of tariff and duty exemptions to our products; the failure of our past or future acquisitions, divestitures and other strategic transactions to produce the anticipated results; potential indemnification obligations to NCR Atleos or a refusal of NCR Atleos to indemnify us pursuant to agreements executed in the spin-off; our ability to protect our systems and data from cybersecurity threats (including artificial intelligence) or other technological risks; risks related to evolving global laws and regulations relating to data privacy, data protection and information security; our ability to protect our intellectual property; unexpected costs in connection with environmental liabilities relating to the Company's historical operations; extensive competition in our markets; disruptions in our data center hosting and public cloud facilities; risks related to defects, errors, installation difficulties or development delays; the failure of our artificial intelligence capabilities to operate as anticipated; our ability to maintain and update our information technology systems; changes in U.S. or foreign trade policies and domestic and global economic and credit conditions; risks related to geopolitical or armed conflicts in a region where we operate; our ability to retain key employees, or to recruit, develop and retain qualified employees; the inability of third party suppliers to fulfill our needs; risks related to our level of indebtedness; our ability to continue to access or renew financing sources and obtain capital; our failure to maintain effective internal control over financial reporting; and other factors included in “Item 1A-Risk Factors” of our most recent Annual Report on Form 10-K and in other documents that we file with the U.S. Securities and Exchange Commission (“SEC”), which we advise you to review.</w:t>
      </w:r>
    </w:p>
    <w:p>
      <w:pPr>
        <w:spacing w:after="0" w:line="2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Should one or more of these risks or uncertainties materialize, or should underlying assumptions prove incorrect, actual results may vary materially from those set forth in the forward-looking statements. Any forward-looking statement speaks only as of the date on which it is made and should not be relied upon as representing our plans and expectations as of any subsequent date. The Company does not undertake any obligation to publicly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58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9"/>
          <w:szCs w:val="19"/>
          <w:b w:val="1"/>
          <w:bCs w:val="1"/>
          <w:color w:val="auto"/>
        </w:rPr>
        <w:t>Earnings Conference Call</w:t>
      </w:r>
    </w:p>
    <w:p>
      <w:pPr>
        <w:spacing w:after="0" w:line="2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 xml:space="preserve">NCR Voyix management will host a conference call and live audio webcast today at 8:00 a.m., Eastern Time, to discuss the Company’s results for the third quarter. Access to the webcast, along with supplemental financial information, is available on the Investor Relations section of the Company’s website at </w:t>
      </w:r>
      <w:r>
        <w:rPr>
          <w:rFonts w:ascii="Times New Roman" w:cs="Times New Roman" w:eastAsia="Times New Roman" w:hAnsi="Times New Roman"/>
          <w:sz w:val="19"/>
          <w:szCs w:val="19"/>
          <w:u w:val="single" w:color="auto"/>
          <w:color w:val="0000FF"/>
        </w:rPr>
        <w:t>https://investor.ncrvoyix.com</w:t>
      </w:r>
      <w:r>
        <w:rPr>
          <w:rFonts w:ascii="Times New Roman" w:cs="Times New Roman" w:eastAsia="Times New Roman" w:hAnsi="Times New Roman"/>
          <w:sz w:val="19"/>
          <w:szCs w:val="19"/>
          <w:color w:val="auto"/>
        </w:rPr>
        <w:t>. Participants may access the live call by dialing (800) 715-9871 (United States/Canada Toll-free) or +1 (646) 307-1963 (International Toll) and requesting to be connected to the conference call. A replay of the audio webcast will be archived on the Company’s website following the live event.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About NCR Voyix</w:t>
      </w:r>
    </w:p>
    <w:p>
      <w:pPr>
        <w:spacing w:after="0" w:line="2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NCR Voyix Corporation (NYSE: VYX) is a global platform-powered leader in unified commerce for shopping and dining. Combining a flexible, intelligent platform with end-to-end payments capabilities and services developed through its deep industry experience, NCR Voyix empowers retailers and restaurants to accelerate new possibilities for their operations, experiences and business outcomes. NCR Voyix is headquartered in Atlanta, Georgia, and serves customers in more than 35 countries worldwide. For more information, visit ncrvoyix.com.</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40"/>
          </w:cols>
          <w:pgMar w:left="320" w:top="88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2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Non-GAAP Financial Measures. </w:t>
      </w:r>
      <w:r>
        <w:rPr>
          <w:rFonts w:ascii="Times New Roman" w:cs="Times New Roman" w:eastAsia="Times New Roman" w:hAnsi="Times New Roman"/>
          <w:sz w:val="17"/>
          <w:szCs w:val="17"/>
          <w:color w:val="auto"/>
        </w:rPr>
        <w:t>While the Company reports its results in accordance with Generally Accepted Accounting Principles in the United States,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GAAP, in this release the Company also uses the non-GAAP measures listed and described below. The Company’s definitions and calculations of these non-GAAP measures may differ from similarly-titled measures reported by other companies and cannot, therefore, be compared with similarly-titled measures of other companies. These non-GAAP measures should not be considered as substitutes for, or superior to, results determined in accordance with GAAP, and the Company encourages investors to review the non-GAAP information presented herein in conjunction with, and as a supplement to, the presentation of GAAP financial measures. Each potential adjustment noted below may not occur in each period presented but are included within the definitions as examples of potential future adjustments.</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Adjusted Earnings Before Interest, Taxes, Depreciation and Amortization (Adjusted EBITDA) and Adjusted EBITDA margin. </w:t>
      </w:r>
      <w:r>
        <w:rPr>
          <w:rFonts w:ascii="Times New Roman" w:cs="Times New Roman" w:eastAsia="Times New Roman" w:hAnsi="Times New Roman"/>
          <w:sz w:val="17"/>
          <w:szCs w:val="17"/>
          <w:color w:val="auto"/>
        </w:rPr>
        <w:t>Adjusted EBITDA is defined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GAAP net income (loss) from continuing operations attributable to NCR Voyix plus interest expense, net; plus income tax expense (benefit); plus depreciation and amortization (excluding acquisition-related amortization of intangibles); plus stock-based compensation expense; plus pension mark-to-market adjustments and other special items, including amortization of acquisition-related intangibles, acquisition-related costs, loss (gain) on disposal of businesses, loss (gain) on extinguishment of debt, separation-related costs, cyber ransomware incident recovery costs net of insurance recoveries, fraudulent ACH disbursements costs net of recoveries, foreign currency devaluation, transformation and restructuring charges (which includes integration, severance and other exit and disposal costs), strategic initiative costs and litigation costs, among others. The Company also uses Adjusted EBITDA margin, which is calculated based on Adjusted EBITDA as a percentage of total revenue. The Company uses Adjusted EBITDA and Adjusted EBITDA margin to evaluate and measure the ongoing performance of its business segments. The Company also uses Adjusted EBITDA and Adjusted EBITDA margin to manage and determine the effectiveness of its business managers and as a basis for incentive compensation. The Company believes that Adjusted EBITDA and Adjusted EBITDA margin provide useful information to investors because they are indicators of the strength and performance of the Company’s ongoing business operations, including its ability to fund discretionary spending such as capital expenditures, strategic acquisitions and other investments. Adjusted EBITDA and Adjusted EBITDA margin should not be considered as substitutes for, or superior to, net income from continuing operations attributable to NCR Voyix or net profit margin, respectively, under GAAP.</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i w:val="1"/>
          <w:iCs w:val="1"/>
          <w:color w:val="auto"/>
        </w:rPr>
        <w:t>Non-GAAP Diluted Earnings Per Share (EPS) and Non-GAAP income (loss) from continuing operations (attributable to NCR Voyix)</w:t>
      </w:r>
      <w:r>
        <w:rPr>
          <w:rFonts w:ascii="Times New Roman" w:cs="Times New Roman" w:eastAsia="Times New Roman" w:hAnsi="Times New Roman"/>
          <w:sz w:val="17"/>
          <w:szCs w:val="17"/>
          <w:color w:val="auto"/>
        </w:rPr>
        <w:t>. The Company determines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Non-GAAP Diluted EPS and Non-GAAP income (loss) from continuing operations (attributable to NCR Voyix) by excluding, as applicable, pension mark-to-market adjustments, pension settlements, pension curtailments and pension special termination benefits, as well as other special items, including loss (gain) on debt extinguishment, amortization of acquisition related intangibles, stock-based compensation expense, separation-related costs, cyber ransomware incident recovery costs net of recoveries, fraudulent ACH disbursements costs net of recoveries, strategic initiative costs, foreign currency devaluation costs, gains or losses related to the disposal of businesses, litigation costs, legal entity restructuring tax benefit and transformation and restructuring costs, from the Company’s GAAP earnings per share and income (loss) from continuing operations (attributable to NCR Voyix), respectively. Due to the non-operational nature of these pension and other special items, the Company’s management uses these non-GAAP measures to evaluate year-over-year operating performance. In addition, non-GAAP tax effects are calculated using an annual forecasted non-GAAP tax rate that excludes the impact of non-GAAP adjustments, with discrete tax impacts added separately for the period. The Company believes this measure is useful for investors because it provides a more complete understanding of the Company’s underlying operational performance, as well as consistency and comparability with the Company’s past reports of financial results.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Adjusted free cash flow-unrestricted and Adjusted free cash flow-unrestricted before restructuring costs. </w:t>
      </w:r>
      <w:r>
        <w:rPr>
          <w:rFonts w:ascii="Times New Roman" w:cs="Times New Roman" w:eastAsia="Times New Roman" w:hAnsi="Times New Roman"/>
          <w:sz w:val="17"/>
          <w:szCs w:val="17"/>
          <w:color w:val="auto"/>
        </w:rPr>
        <w:t>NCR Voyix management uses the non-GAAP measure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called “adjusted free cash flow-unrestricted” to assess the financial performance of the Company. We define adjusted free cash flow-unrestricted as net cash provided by (used in) operating activities less capital expenditures for property, plant and equipment and capitalized software, plus/minus collections of previously sold trade receivables purchased from third parties (as they represent cash received in the period and are available for use), restricted cash settlement activity (as such funds are not available for the Company's general use and do not represent cash generated from ongoing operations), cash activity related to environmental discontinued operations (as they do not relate to the Company's ongoing operations), collections on non-operating receivables related to inventory sold for the Hardware Business Transition (as they represent cash received in the period and are available for use), plus acquisition-related items, and pension contributions and settlements (which are required contributions related to discontinued operations and are unrelated to the Company's ongoing operations).</w:t>
      </w:r>
    </w:p>
    <w:p>
      <w:pPr>
        <w:spacing w:after="0" w:line="20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believe adjusted free cash flow-unrestricted provides useful information to investors because it relates the operating cash flows from the Company’s continuing and discontinued operations to the capital that is spent to continue and improve business operations. In particular, adjusted free cash flow-unrestricted indicates the amount of cash available after capital expenditures for, among other things, investments in the Company’s existing businesses, strategic acquisitions, and repayment of debt obligations. Adjusted free cash flow-unrestricted does not represent the residual cash flow available for discretionary expenditures, since there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40"/>
          </w:cols>
          <w:pgMar w:left="320" w:top="583" w:right="339" w:bottom="1440" w:gutter="0" w:footer="0" w:header="0"/>
        </w:sectPr>
      </w:pPr>
    </w:p>
    <w:bookmarkStart w:id="8" w:name="page9"/>
    <w:bookmarkEnd w:id="8"/>
    <w:p>
      <w:pPr>
        <w:jc w:val="both"/>
        <w:spacing w:after="0" w:line="270" w:lineRule="auto"/>
        <w:rPr>
          <w:sz w:val="20"/>
          <w:szCs w:val="20"/>
          <w:color w:val="auto"/>
        </w:rPr>
      </w:pPr>
      <w:r>
        <w:rPr>
          <w:rFonts w:ascii="Times New Roman" w:cs="Times New Roman" w:eastAsia="Times New Roman" w:hAnsi="Times New Roman"/>
          <w:sz w:val="17"/>
          <w:szCs w:val="17"/>
          <w:color w:val="auto"/>
        </w:rPr>
        <w:t>may be other non-discretionary expenditures that are not deducted from the measure. Adjusted free cash flow-unrestricted does not have uniform definitions under GAAP, and therefore the Company’s definitions may differ from other companies’ definitions of these measures. These non-GAAP measures should not be considered a substitute for, or superior to, cash flows from operating activities under GAAP or other GAAP measures.</w:t>
      </w:r>
    </w:p>
    <w:p>
      <w:pPr>
        <w:spacing w:after="0" w:line="191"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Adjusted free cash flow-unrestricted before restructuring costs excludes certain restructuring, transformation and strategic initiative costs and expected payments related to a certain litigation matter, net of expected recoveries from NCR Atleos.</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Revenue, Pro Forma for Hardware Transition Impact. </w:t>
      </w:r>
      <w:r>
        <w:rPr>
          <w:rFonts w:ascii="Times New Roman" w:cs="Times New Roman" w:eastAsia="Times New Roman" w:hAnsi="Times New Roman"/>
          <w:sz w:val="17"/>
          <w:szCs w:val="17"/>
          <w:color w:val="auto"/>
        </w:rPr>
        <w:t>Revenue, pro forma for hardware transition impact, is defined as revenue (GAAP), as reported, less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hardware revenue reported and plus outsourced design and manufacturing (ODM) referral revenue and other hardware sales (in each case reflecting revenue as if the Company’s previously announced transition of its hardware business to an ODM model (the “Hardware Business Transition”) occurred on April 1, 2025). NCR Voyix’s management considers revenue, pro forma for hardware transition impact as a useful metric in order to provide a comparison of the Company’s pro forma historic performance (presented as if the Hardware Business Transition were effective for the comparable period within fiscal year 2025) to the Company’s ongoing performance in future periods. Revenue, pro forma for Hardware Transition Impact, reflects gross hardware revenue recognition on a pro forma basis, net sales commission revenue recognition for the quarters ending prior to April 1,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Use of Certain Terms</w:t>
      </w:r>
    </w:p>
    <w:p>
      <w:pPr>
        <w:spacing w:after="0" w:line="24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term “Recurring Revenue” includes all revenue streams from contracts where there is a predictable revenue pattern that will occur at regular intervals with a relatively high degree of certainty. This includes hardware and software maintenance revenue, cloud revenue, payment processing revenue, and certain professional services arrangements, as well as term-based software license arrangements that include customer termination rights. NCR Voyix’s management considers recurring revenue, and the other operating metrics derived therefrom, to be an important indicator of the predictability of revenue and part of our strategic plan.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term “Software &amp; Services Revenue” includes all software, services and payments revenue and excludes hardware and hardware commission revenues.</w:t>
      </w:r>
    </w:p>
    <w:p>
      <w:pPr>
        <w:spacing w:after="0" w:line="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term “Remaining Contract Value” or “RCV” is the total remaining value under contract with customers for the Company’s Voyix Commerce Platform applications that has not yet been recognized as revenue as of the end of the reporting period. RCV includes contract value for subscription periods that are cancellable by the customer, as the majority of our contracts are subject to termination provisions, including for convenience. There is no guarantee that the Company will be able to recognize the full amount of its RCV.</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940" w:type="dxa"/>
            <w:vAlign w:val="bottom"/>
          </w:tcPr>
          <w:p>
            <w:pPr>
              <w:ind w:left="3660"/>
              <w:spacing w:after="0"/>
              <w:rPr>
                <w:sz w:val="20"/>
                <w:szCs w:val="20"/>
                <w:color w:val="auto"/>
              </w:rPr>
            </w:pPr>
            <w:r>
              <w:rPr>
                <w:rFonts w:ascii="Times New Roman" w:cs="Times New Roman" w:eastAsia="Times New Roman" w:hAnsi="Times New Roman"/>
                <w:sz w:val="17"/>
                <w:szCs w:val="17"/>
                <w:b w:val="1"/>
                <w:bCs w:val="1"/>
                <w:color w:val="auto"/>
              </w:rPr>
              <w:t>Revenue, Pro Forma for Hardware Transition Impact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7"/>
        </w:trPr>
        <w:tc>
          <w:tcPr>
            <w:tcW w:w="89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173"/>
        </w:trPr>
        <w:tc>
          <w:tcPr>
            <w:tcW w:w="8940" w:type="dxa"/>
            <w:vAlign w:val="bottom"/>
          </w:tcPr>
          <w:p>
            <w:pPr>
              <w:spacing w:after="0"/>
              <w:rPr>
                <w:sz w:val="15"/>
                <w:szCs w:val="15"/>
                <w:color w:val="auto"/>
              </w:rPr>
            </w:pPr>
          </w:p>
        </w:tc>
        <w:tc>
          <w:tcPr>
            <w:tcW w:w="1200" w:type="dxa"/>
            <w:vAlign w:val="bottom"/>
            <w:gridSpan w:val="3"/>
          </w:tcPr>
          <w:p>
            <w:pPr>
              <w:ind w:left="20"/>
              <w:spacing w:after="0" w:line="173"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10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30"/>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27"/>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w:t>
            </w:r>
          </w:p>
        </w:tc>
      </w:tr>
      <w:tr>
        <w:trPr>
          <w:trHeight w:val="232"/>
        </w:trPr>
        <w:tc>
          <w:tcPr>
            <w:tcW w:w="8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hardware revenue</w:t>
            </w:r>
          </w:p>
        </w:tc>
        <w:tc>
          <w:tcPr>
            <w:tcW w:w="2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r>
      <w:tr>
        <w:trPr>
          <w:trHeight w:val="232"/>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Plus: ODM referral revenue</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32"/>
        </w:trPr>
        <w:tc>
          <w:tcPr>
            <w:tcW w:w="8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Plus: other hardware revenue</w:t>
            </w:r>
          </w:p>
        </w:tc>
        <w:tc>
          <w:tcPr>
            <w:tcW w:w="2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25"/>
        </w:trPr>
        <w:tc>
          <w:tcPr>
            <w:tcW w:w="8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 Pro Forma for Hardware Transition Impact</w:t>
            </w: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539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w:t>
            </w:r>
          </w:p>
        </w:tc>
      </w:tr>
      <w:tr>
        <w:trPr>
          <w:trHeight w:val="645"/>
        </w:trPr>
        <w:tc>
          <w:tcPr>
            <w:tcW w:w="8940" w:type="dxa"/>
            <w:vAlign w:val="bottom"/>
          </w:tcPr>
          <w:p>
            <w:pPr>
              <w:ind w:left="5580"/>
              <w:spacing w:after="0"/>
              <w:rPr>
                <w:sz w:val="20"/>
                <w:szCs w:val="20"/>
                <w:color w:val="auto"/>
              </w:rPr>
            </w:pPr>
            <w:r>
              <w:rPr>
                <w:rFonts w:ascii="Times New Roman" w:cs="Times New Roman" w:eastAsia="Times New Roman" w:hAnsi="Times New Roman"/>
                <w:sz w:val="17"/>
                <w:szCs w:val="17"/>
                <w:color w:val="auto"/>
              </w:rPr>
              <w:t>6</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240"/>
          </w:cols>
          <w:pgMar w:left="320" w:top="587" w:right="339" w:bottom="1440" w:gutter="0" w:footer="0" w:header="0"/>
        </w:sectPr>
      </w:pPr>
    </w:p>
    <w:bookmarkStart w:id="9" w:name="page10"/>
    <w:bookmarkEnd w:id="9"/>
    <w:p>
      <w:pPr>
        <w:jc w:val="center"/>
        <w:spacing w:after="0" w:line="284" w:lineRule="auto"/>
        <w:rPr>
          <w:sz w:val="20"/>
          <w:szCs w:val="20"/>
          <w:color w:val="auto"/>
        </w:rPr>
      </w:pPr>
      <w:r>
        <w:rPr>
          <w:rFonts w:ascii="Times New Roman" w:cs="Times New Roman" w:eastAsia="Times New Roman" w:hAnsi="Times New Roman"/>
          <w:sz w:val="17"/>
          <w:szCs w:val="17"/>
          <w:b w:val="1"/>
          <w:bCs w:val="1"/>
          <w:color w:val="auto"/>
        </w:rPr>
        <w:t>Reconciliation of Net Income (Loss) from Continuing Operations Attributable to NCR Voyix (GAAP) to Adjusted Earnings Before Interest, Depreciation, Taxes and Amortization (Adjusted EBITDA)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6540" w:type="dxa"/>
            <w:vAlign w:val="bottom"/>
          </w:tcPr>
          <w:p>
            <w:pPr>
              <w:spacing w:after="0"/>
              <w:rPr>
                <w:sz w:val="15"/>
                <w:szCs w:val="15"/>
                <w:color w:val="auto"/>
              </w:rPr>
            </w:pPr>
          </w:p>
        </w:tc>
        <w:tc>
          <w:tcPr>
            <w:tcW w:w="1220" w:type="dxa"/>
            <w:vAlign w:val="bottom"/>
            <w:gridSpan w:val="3"/>
          </w:tcPr>
          <w:p>
            <w:pPr>
              <w:ind w:left="40"/>
              <w:spacing w:after="0" w:line="173"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20" w:type="dxa"/>
            <w:vAlign w:val="bottom"/>
          </w:tcPr>
          <w:p>
            <w:pPr>
              <w:spacing w:after="0"/>
              <w:rPr>
                <w:sz w:val="15"/>
                <w:szCs w:val="15"/>
                <w:color w:val="auto"/>
              </w:rPr>
            </w:pPr>
          </w:p>
        </w:tc>
        <w:tc>
          <w:tcPr>
            <w:tcW w:w="106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7"/>
                <w:szCs w:val="17"/>
                <w:b w:val="1"/>
                <w:bCs w:val="1"/>
                <w:color w:val="auto"/>
              </w:rPr>
              <w:t>September</w:t>
            </w:r>
          </w:p>
        </w:tc>
        <w:tc>
          <w:tcPr>
            <w:tcW w:w="1200" w:type="dxa"/>
            <w:vAlign w:val="bottom"/>
            <w:gridSpan w:val="3"/>
          </w:tcPr>
          <w:p>
            <w:pPr>
              <w:ind w:left="20"/>
              <w:spacing w:after="0" w:line="173"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10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0" w:type="dxa"/>
            <w:vAlign w:val="bottom"/>
          </w:tcPr>
          <w:p>
            <w:pPr>
              <w:spacing w:after="0"/>
              <w:rPr>
                <w:sz w:val="1"/>
                <w:szCs w:val="1"/>
                <w:color w:val="auto"/>
              </w:rPr>
            </w:pPr>
          </w:p>
        </w:tc>
      </w:tr>
      <w:tr>
        <w:trPr>
          <w:trHeight w:val="230"/>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30, 2025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from Continuing Operations Attributable to NCR Voyix (GAAP)</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32"/>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(excluding acquisition-related amortization of intangibles)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139</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0" w:type="dxa"/>
            <w:vAlign w:val="bottom"/>
          </w:tcPr>
          <w:p>
            <w:pPr>
              <w:spacing w:after="0"/>
              <w:rPr>
                <w:sz w:val="1"/>
                <w:szCs w:val="1"/>
                <w:color w:val="auto"/>
              </w:rPr>
            </w:pPr>
          </w:p>
        </w:tc>
      </w:tr>
      <w:tr>
        <w:trPr>
          <w:trHeight w:val="232"/>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Acquisition-related amortization of intangibles</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32"/>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46</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32"/>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32"/>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(33)</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32"/>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32"/>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Transformation and restructuring costs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62</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32"/>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(gain) on disposal of businesses</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32"/>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Strategic initiatives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32"/>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Litigation costs</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25"/>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 (Non-GAAP)</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120</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296</w:t>
            </w:r>
          </w:p>
        </w:tc>
        <w:tc>
          <w:tcPr>
            <w:tcW w:w="100" w:type="dxa"/>
            <w:vAlign w:val="bottom"/>
          </w:tcPr>
          <w:p>
            <w:pPr>
              <w:spacing w:after="0"/>
              <w:rPr>
                <w:sz w:val="19"/>
                <w:szCs w:val="19"/>
                <w:color w:val="auto"/>
              </w:rPr>
            </w:pPr>
          </w:p>
        </w:tc>
        <w:tc>
          <w:tcPr>
            <w:tcW w:w="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5580"/>
              <w:spacing w:after="0"/>
              <w:rPr>
                <w:sz w:val="20"/>
                <w:szCs w:val="20"/>
                <w:color w:val="auto"/>
              </w:rPr>
            </w:pPr>
            <w:r>
              <w:rPr>
                <w:rFonts w:ascii="Times New Roman" w:cs="Times New Roman" w:eastAsia="Times New Roman" w:hAnsi="Times New Roman"/>
                <w:sz w:val="17"/>
                <w:szCs w:val="17"/>
                <w:color w:val="auto"/>
              </w:rPr>
              <w:t>7</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3"/>
        </w:trPr>
        <w:tc>
          <w:tcPr>
            <w:tcW w:w="6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Reconciliation of Diluted Earnings Per Share from Continuing Operations (GAAP)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Non-GAAP Diluted Earnings Per Share from Continuing Operations (Non-GAAP)</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4"/>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173"/>
        </w:trPr>
        <w:tc>
          <w:tcPr>
            <w:tcW w:w="6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7"/>
                <w:szCs w:val="17"/>
                <w:b w:val="1"/>
                <w:bCs w:val="1"/>
                <w:color w:val="auto"/>
              </w:rPr>
              <w:t>September</w:t>
            </w:r>
          </w:p>
        </w:tc>
        <w:tc>
          <w:tcPr>
            <w:tcW w:w="120" w:type="dxa"/>
            <w:vAlign w:val="bottom"/>
          </w:tcPr>
          <w:p>
            <w:pPr>
              <w:spacing w:after="0"/>
              <w:rPr>
                <w:sz w:val="15"/>
                <w:szCs w:val="15"/>
                <w:color w:val="auto"/>
              </w:rPr>
            </w:pPr>
          </w:p>
        </w:tc>
        <w:tc>
          <w:tcPr>
            <w:tcW w:w="104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7"/>
                <w:szCs w:val="17"/>
                <w:b w:val="1"/>
                <w:bCs w:val="1"/>
                <w:color w:val="auto"/>
              </w:rPr>
              <w:t>September</w:t>
            </w:r>
          </w:p>
        </w:tc>
        <w:tc>
          <w:tcPr>
            <w:tcW w:w="140" w:type="dxa"/>
            <w:vAlign w:val="bottom"/>
          </w:tcPr>
          <w:p>
            <w:pPr>
              <w:spacing w:after="0"/>
              <w:rPr>
                <w:sz w:val="15"/>
                <w:szCs w:val="15"/>
                <w:color w:val="auto"/>
              </w:rPr>
            </w:pPr>
          </w:p>
        </w:tc>
        <w:tc>
          <w:tcPr>
            <w:tcW w:w="104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7"/>
                <w:szCs w:val="17"/>
                <w:b w:val="1"/>
                <w:bCs w:val="1"/>
                <w:color w:val="auto"/>
              </w:rPr>
              <w:t>September</w:t>
            </w:r>
          </w:p>
        </w:tc>
        <w:tc>
          <w:tcPr>
            <w:tcW w:w="120" w:type="dxa"/>
            <w:vAlign w:val="bottom"/>
          </w:tcPr>
          <w:p>
            <w:pPr>
              <w:spacing w:after="0"/>
              <w:rPr>
                <w:sz w:val="15"/>
                <w:szCs w:val="15"/>
                <w:color w:val="auto"/>
              </w:rPr>
            </w:pPr>
          </w:p>
        </w:tc>
        <w:tc>
          <w:tcPr>
            <w:tcW w:w="960" w:type="dxa"/>
            <w:vAlign w:val="bottom"/>
          </w:tcPr>
          <w:p>
            <w:pPr>
              <w:jc w:val="right"/>
              <w:ind w:right="54"/>
              <w:spacing w:after="0" w:line="173" w:lineRule="exact"/>
              <w:rPr>
                <w:sz w:val="20"/>
                <w:szCs w:val="20"/>
                <w:color w:val="auto"/>
              </w:rPr>
            </w:pPr>
            <w:r>
              <w:rPr>
                <w:rFonts w:ascii="Times New Roman" w:cs="Times New Roman" w:eastAsia="Times New Roman" w:hAnsi="Times New Roman"/>
                <w:sz w:val="17"/>
                <w:szCs w:val="17"/>
                <w:b w:val="1"/>
                <w:bCs w:val="1"/>
                <w:color w:val="auto"/>
              </w:rPr>
              <w:t>September</w:t>
            </w:r>
          </w:p>
        </w:tc>
      </w:tr>
      <w:tr>
        <w:trPr>
          <w:trHeight w:val="230"/>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30, 2026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30, 2025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30, 2026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30, 2025</w:t>
            </w:r>
          </w:p>
        </w:tc>
      </w:tr>
      <w:tr>
        <w:trPr>
          <w:trHeight w:val="227"/>
        </w:trPr>
        <w:tc>
          <w:tcPr>
            <w:tcW w:w="6640" w:type="dxa"/>
            <w:vAlign w:val="bottom"/>
            <w:shd w:val="clear" w:color="auto" w:fill="CCEEFF"/>
          </w:tcPr>
          <w:p>
            <w:pPr>
              <w:ind w:left="20"/>
              <w:spacing w:after="0" w:line="227" w:lineRule="exact"/>
              <w:rPr>
                <w:sz w:val="20"/>
                <w:szCs w:val="20"/>
                <w:color w:val="auto"/>
              </w:rPr>
            </w:pPr>
            <w:r>
              <w:rPr>
                <w:rFonts w:ascii="Times New Roman" w:cs="Times New Roman" w:eastAsia="Times New Roman" w:hAnsi="Times New Roman"/>
                <w:sz w:val="17"/>
                <w:szCs w:val="17"/>
                <w:b w:val="1"/>
                <w:bCs w:val="1"/>
                <w:color w:val="auto"/>
              </w:rPr>
              <w:t>Diluted Earnings Per Share from Continuing Operations (GAAP)</w:t>
            </w:r>
            <w:r>
              <w:rPr>
                <w:rFonts w:ascii="Times New Roman" w:cs="Times New Roman" w:eastAsia="Times New Roman" w:hAnsi="Times New Roman"/>
                <w:sz w:val="22"/>
                <w:szCs w:val="22"/>
                <w:b w:val="1"/>
                <w:bCs w:val="1"/>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w:t>
            </w:r>
          </w:p>
        </w:tc>
      </w:tr>
      <w:tr>
        <w:trPr>
          <w:trHeight w:val="232"/>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Acquisition-related amortization of intangibles</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0.11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0.10</w:t>
            </w:r>
          </w:p>
        </w:tc>
      </w:tr>
      <w:tr>
        <w:trPr>
          <w:trHeight w:val="23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0.06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0.16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0.16</w:t>
            </w:r>
          </w:p>
        </w:tc>
      </w:tr>
      <w:tr>
        <w:trPr>
          <w:trHeight w:val="232"/>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Transformation and restructuring costs</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0.33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0.38</w:t>
            </w:r>
          </w:p>
        </w:tc>
      </w:tr>
      <w:tr>
        <w:trPr>
          <w:trHeight w:val="23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Strategic initiatives</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0.01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0.11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0.06</w:t>
            </w:r>
          </w:p>
        </w:tc>
      </w:tr>
      <w:tr>
        <w:trPr>
          <w:trHeight w:val="232"/>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Litigation costs</w:t>
            </w: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0.01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0.11</w:t>
            </w:r>
          </w:p>
        </w:tc>
      </w:tr>
      <w:tr>
        <w:trPr>
          <w:trHeight w:val="23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expense (benefit)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0.03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(0.22)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5"/>
        </w:trPr>
        <w:tc>
          <w:tcPr>
            <w:tcW w:w="6640" w:type="dxa"/>
            <w:vAlign w:val="bottom"/>
          </w:tcPr>
          <w:p>
            <w:pPr>
              <w:ind w:left="20"/>
              <w:spacing w:after="0" w:line="225" w:lineRule="exact"/>
              <w:rPr>
                <w:sz w:val="20"/>
                <w:szCs w:val="20"/>
                <w:color w:val="auto"/>
              </w:rPr>
            </w:pPr>
            <w:r>
              <w:rPr>
                <w:rFonts w:ascii="Times New Roman" w:cs="Times New Roman" w:eastAsia="Times New Roman" w:hAnsi="Times New Roman"/>
                <w:sz w:val="17"/>
                <w:szCs w:val="17"/>
                <w:b w:val="1"/>
                <w:bCs w:val="1"/>
                <w:color w:val="auto"/>
              </w:rPr>
              <w:t>Non-GAAP Diluted EPS</w:t>
            </w:r>
            <w:r>
              <w:rPr>
                <w:rFonts w:ascii="Times New Roman" w:cs="Times New Roman" w:eastAsia="Times New Roman" w:hAnsi="Times New Roman"/>
                <w:sz w:val="22"/>
                <w:szCs w:val="22"/>
                <w:b w:val="1"/>
                <w:bCs w:val="1"/>
                <w:color w:val="auto"/>
                <w:vertAlign w:val="superscript"/>
              </w:rPr>
              <w:t>(1)</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0.32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0.59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0.55</w:t>
            </w:r>
          </w:p>
        </w:tc>
      </w:tr>
    </w:tbl>
    <w:p>
      <w:pPr>
        <w:spacing w:after="0" w:line="65" w:lineRule="exact"/>
        <w:rPr>
          <w:sz w:val="20"/>
          <w:szCs w:val="20"/>
          <w:color w:val="auto"/>
        </w:rPr>
      </w:pPr>
    </w:p>
    <w:p>
      <w:pPr>
        <w:jc w:val="both"/>
        <w:ind w:firstLine="3"/>
        <w:spacing w:after="0" w:line="293" w:lineRule="auto"/>
        <w:tabs>
          <w:tab w:leader="none" w:pos="142"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Non-GAAP diluted EPS is determined using the conversion of the Series A Convertible Preferred Stock into common stock in the calculation of weighted average diluted shares outstanding. GAAP EPS is determined using the most dilutive measure, either including the impact of dividends or deemed dividends on the Company’s Series A Convertible Preferred Stock in the calculation of net income or loss available to common stockholders or including the impact of the conversion of the Series A Convertible Preferred Stock into common stock in the calculation of the weighted average diluted shares outstanding. Therefore, GAAP diluted EPS and non-GAAP diluted EPS may not mathematically reconcile.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6280" w:type="dxa"/>
            <w:vAlign w:val="bottom"/>
          </w:tcPr>
          <w:p>
            <w:pPr>
              <w:spacing w:after="0"/>
              <w:rPr>
                <w:sz w:val="15"/>
                <w:szCs w:val="15"/>
                <w:color w:val="auto"/>
              </w:rPr>
            </w:pP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300" w:type="dxa"/>
            <w:vAlign w:val="bottom"/>
            <w:gridSpan w:val="3"/>
          </w:tcPr>
          <w:p>
            <w:pPr>
              <w:jc w:val="center"/>
              <w:ind w:right="40"/>
              <w:spacing w:after="0" w:line="173"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220" w:type="dxa"/>
            <w:vAlign w:val="bottom"/>
            <w:gridSpan w:val="2"/>
          </w:tcPr>
          <w:p>
            <w:pPr>
              <w:jc w:val="center"/>
              <w:spacing w:after="0" w:line="173"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0" w:type="dxa"/>
            <w:vAlign w:val="bottom"/>
          </w:tcPr>
          <w:p>
            <w:pPr>
              <w:spacing w:after="0"/>
              <w:rPr>
                <w:sz w:val="1"/>
                <w:szCs w:val="1"/>
                <w:color w:val="auto"/>
              </w:rPr>
            </w:pPr>
          </w:p>
        </w:tc>
      </w:tr>
      <w:tr>
        <w:trPr>
          <w:trHeight w:val="77"/>
        </w:trPr>
        <w:tc>
          <w:tcPr>
            <w:tcW w:w="62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vMerge w:val="restart"/>
          </w:tcPr>
          <w:p>
            <w:pPr>
              <w:jc w:val="center"/>
              <w:ind w:right="94"/>
              <w:spacing w:after="0" w:line="173" w:lineRule="exact"/>
              <w:rPr>
                <w:sz w:val="20"/>
                <w:szCs w:val="20"/>
                <w:color w:val="auto"/>
              </w:rPr>
            </w:pPr>
            <w:r>
              <w:rPr>
                <w:rFonts w:ascii="Times New Roman" w:cs="Times New Roman" w:eastAsia="Times New Roman" w:hAnsi="Times New Roman"/>
                <w:sz w:val="17"/>
                <w:szCs w:val="17"/>
                <w:b w:val="1"/>
                <w:bCs w:val="1"/>
                <w:color w:val="auto"/>
                <w:w w:val="99"/>
              </w:rPr>
              <w:t>2026</w:t>
            </w: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vMerge w:val="restart"/>
          </w:tcPr>
          <w:p>
            <w:pPr>
              <w:jc w:val="center"/>
              <w:ind w:right="34"/>
              <w:spacing w:after="0" w:line="173" w:lineRule="exact"/>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96"/>
        </w:trPr>
        <w:tc>
          <w:tcPr>
            <w:tcW w:w="6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vMerge w:val="restart"/>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w w:val="99"/>
              </w:rPr>
              <w:t>2026</w:t>
            </w:r>
          </w:p>
        </w:tc>
        <w:tc>
          <w:tcPr>
            <w:tcW w:w="1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vMerge w:val="restart"/>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2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Non-GAAP</w:t>
            </w:r>
          </w:p>
        </w:tc>
        <w:tc>
          <w:tcPr>
            <w:tcW w:w="2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Non-GAAP</w:t>
            </w: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628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7"/>
                <w:szCs w:val="17"/>
                <w:b w:val="1"/>
                <w:bCs w:val="1"/>
                <w:color w:val="auto"/>
              </w:rPr>
              <w:t>Income (loss) from continuing operations attributable to NCR Voyix common</w:t>
            </w:r>
          </w:p>
        </w:tc>
        <w:tc>
          <w:tcPr>
            <w:tcW w:w="2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from continuing operations (attributable to NCR Voyix)</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14</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49</w:t>
            </w:r>
          </w:p>
        </w:tc>
        <w:tc>
          <w:tcPr>
            <w:tcW w:w="80" w:type="dxa"/>
            <w:vAlign w:val="bottom"/>
          </w:tcPr>
          <w:p>
            <w:pPr>
              <w:spacing w:after="0"/>
              <w:rPr>
                <w:sz w:val="20"/>
                <w:szCs w:val="20"/>
                <w:color w:val="auto"/>
              </w:rPr>
            </w:pP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3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Dividends on convertible preferred shares</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0"/>
        </w:trPr>
        <w:tc>
          <w:tcPr>
            <w:tcW w:w="6280" w:type="dxa"/>
            <w:vAlign w:val="bottom"/>
          </w:tcPr>
          <w:p>
            <w:pPr>
              <w:ind w:left="20"/>
              <w:spacing w:after="0" w:line="161" w:lineRule="exact"/>
              <w:rPr>
                <w:sz w:val="20"/>
                <w:szCs w:val="20"/>
                <w:color w:val="auto"/>
              </w:rPr>
            </w:pPr>
            <w:r>
              <w:rPr>
                <w:rFonts w:ascii="Times New Roman" w:cs="Times New Roman" w:eastAsia="Times New Roman" w:hAnsi="Times New Roman"/>
                <w:sz w:val="17"/>
                <w:szCs w:val="17"/>
                <w:color w:val="auto"/>
              </w:rPr>
              <w:t>Income (loss) from continuing operations attributable to NCR Voyix common</w:t>
            </w:r>
          </w:p>
        </w:tc>
        <w:tc>
          <w:tcPr>
            <w:tcW w:w="260" w:type="dxa"/>
            <w:vAlign w:val="bottom"/>
            <w:tcBorders>
              <w:top w:val="single" w:sz="8" w:color="auto"/>
            </w:tcBorders>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top w:val="single" w:sz="8" w:color="auto"/>
            </w:tcBorders>
            <w:vMerge w:val="restart"/>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11</w:t>
            </w: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49</w:t>
            </w: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w:t>
            </w:r>
          </w:p>
        </w:tc>
        <w:tc>
          <w:tcPr>
            <w:tcW w:w="26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3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Weighted average outstanding shares:</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diluted shares outstanding</w:t>
            </w:r>
          </w:p>
        </w:tc>
        <w:tc>
          <w:tcPr>
            <w:tcW w:w="26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139.8</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139.8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138.2</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141.2</w:t>
            </w:r>
          </w:p>
        </w:tc>
        <w:tc>
          <w:tcPr>
            <w:tcW w:w="0" w:type="dxa"/>
            <w:vAlign w:val="bottom"/>
          </w:tcPr>
          <w:p>
            <w:pPr>
              <w:spacing w:after="0"/>
              <w:rPr>
                <w:sz w:val="1"/>
                <w:szCs w:val="1"/>
                <w:color w:val="auto"/>
              </w:rPr>
            </w:pPr>
          </w:p>
        </w:tc>
      </w:tr>
      <w:tr>
        <w:trPr>
          <w:trHeight w:val="23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as-if converted preferred shares</w:t>
            </w: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11.9</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0" w:type="dxa"/>
            <w:vAlign w:val="bottom"/>
          </w:tcPr>
          <w:p>
            <w:pPr>
              <w:spacing w:after="0"/>
              <w:rPr>
                <w:sz w:val="1"/>
                <w:szCs w:val="1"/>
                <w:color w:val="auto"/>
              </w:rPr>
            </w:pPr>
          </w:p>
        </w:tc>
      </w:tr>
      <w:tr>
        <w:trPr>
          <w:trHeight w:val="225"/>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shares used in diluted earnings per share</w:t>
            </w:r>
          </w:p>
        </w:tc>
        <w:tc>
          <w:tcPr>
            <w:tcW w:w="26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139.8</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151.7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138.2</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157.1</w:t>
            </w:r>
          </w:p>
        </w:tc>
        <w:tc>
          <w:tcPr>
            <w:tcW w:w="0" w:type="dxa"/>
            <w:vAlign w:val="bottom"/>
          </w:tcPr>
          <w:p>
            <w:pPr>
              <w:spacing w:after="0"/>
              <w:rPr>
                <w:sz w:val="1"/>
                <w:szCs w:val="1"/>
                <w:color w:val="auto"/>
              </w:rPr>
            </w:pPr>
          </w:p>
        </w:tc>
      </w:tr>
      <w:tr>
        <w:trPr>
          <w:trHeight w:val="23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Diluted earnings per share from continuing operations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0.08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0.32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0.30</w:t>
            </w:r>
          </w:p>
        </w:tc>
        <w:tc>
          <w:tcPr>
            <w:tcW w:w="0" w:type="dxa"/>
            <w:vAlign w:val="bottom"/>
          </w:tcPr>
          <w:p>
            <w:pPr>
              <w:spacing w:after="0"/>
              <w:rPr>
                <w:sz w:val="1"/>
                <w:szCs w:val="1"/>
                <w:color w:val="auto"/>
              </w:rPr>
            </w:pPr>
          </w:p>
        </w:tc>
      </w:tr>
      <w:tr>
        <w:trPr>
          <w:trHeight w:val="580"/>
        </w:trPr>
        <w:tc>
          <w:tcPr>
            <w:tcW w:w="6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280" w:type="dxa"/>
            <w:vAlign w:val="bottom"/>
          </w:tcPr>
          <w:p>
            <w:pPr>
              <w:spacing w:after="0"/>
              <w:rPr>
                <w:sz w:val="15"/>
                <w:szCs w:val="15"/>
                <w:color w:val="auto"/>
              </w:rPr>
            </w:pP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300" w:type="dxa"/>
            <w:vAlign w:val="bottom"/>
            <w:gridSpan w:val="3"/>
          </w:tcPr>
          <w:p>
            <w:pPr>
              <w:jc w:val="center"/>
              <w:ind w:right="40"/>
              <w:spacing w:after="0" w:line="173"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220" w:type="dxa"/>
            <w:vAlign w:val="bottom"/>
            <w:gridSpan w:val="2"/>
          </w:tcPr>
          <w:p>
            <w:pPr>
              <w:jc w:val="center"/>
              <w:spacing w:after="0" w:line="173"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0" w:type="dxa"/>
            <w:vAlign w:val="bottom"/>
          </w:tcPr>
          <w:p>
            <w:pPr>
              <w:spacing w:after="0"/>
              <w:rPr>
                <w:sz w:val="1"/>
                <w:szCs w:val="1"/>
                <w:color w:val="auto"/>
              </w:rPr>
            </w:pPr>
          </w:p>
        </w:tc>
      </w:tr>
      <w:tr>
        <w:trPr>
          <w:trHeight w:val="77"/>
        </w:trPr>
        <w:tc>
          <w:tcPr>
            <w:tcW w:w="62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vMerge w:val="restart"/>
          </w:tcPr>
          <w:p>
            <w:pPr>
              <w:jc w:val="center"/>
              <w:ind w:right="94"/>
              <w:spacing w:after="0" w:line="167" w:lineRule="exact"/>
              <w:rPr>
                <w:sz w:val="20"/>
                <w:szCs w:val="20"/>
                <w:color w:val="auto"/>
              </w:rPr>
            </w:pPr>
            <w:r>
              <w:rPr>
                <w:rFonts w:ascii="Times New Roman" w:cs="Times New Roman" w:eastAsia="Times New Roman" w:hAnsi="Times New Roman"/>
                <w:sz w:val="17"/>
                <w:szCs w:val="17"/>
                <w:b w:val="1"/>
                <w:bCs w:val="1"/>
                <w:color w:val="auto"/>
                <w:w w:val="99"/>
              </w:rPr>
              <w:t>2026</w:t>
            </w: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vMerge w:val="restart"/>
          </w:tcPr>
          <w:p>
            <w:pPr>
              <w:jc w:val="center"/>
              <w:ind w:right="34"/>
              <w:spacing w:after="0" w:line="167" w:lineRule="exact"/>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90"/>
        </w:trPr>
        <w:tc>
          <w:tcPr>
            <w:tcW w:w="6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vMerge w:val="restart"/>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w w:val="99"/>
              </w:rPr>
              <w:t>2026</w:t>
            </w:r>
          </w:p>
        </w:tc>
        <w:tc>
          <w:tcPr>
            <w:tcW w:w="1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vMerge w:val="restart"/>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2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Non-GAAP</w:t>
            </w:r>
          </w:p>
        </w:tc>
        <w:tc>
          <w:tcPr>
            <w:tcW w:w="2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Non-GAAP</w:t>
            </w:r>
          </w:p>
        </w:tc>
        <w:tc>
          <w:tcPr>
            <w:tcW w:w="0" w:type="dxa"/>
            <w:vAlign w:val="bottom"/>
          </w:tcPr>
          <w:p>
            <w:pPr>
              <w:spacing w:after="0"/>
              <w:rPr>
                <w:sz w:val="1"/>
                <w:szCs w:val="1"/>
                <w:color w:val="auto"/>
              </w:rPr>
            </w:pPr>
          </w:p>
        </w:tc>
      </w:tr>
      <w:tr>
        <w:trPr>
          <w:trHeight w:val="93"/>
        </w:trPr>
        <w:tc>
          <w:tcPr>
            <w:tcW w:w="62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6280" w:type="dxa"/>
            <w:vAlign w:val="bottom"/>
            <w:tcBorders>
              <w:top w:val="single" w:sz="8" w:color="CCEEFF"/>
            </w:tcBorders>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b w:val="1"/>
                <w:bCs w:val="1"/>
                <w:color w:val="auto"/>
              </w:rPr>
              <w:t>Income (loss) from continuing operations attributable to NCR Voyix common</w:t>
            </w:r>
          </w:p>
        </w:tc>
        <w:tc>
          <w:tcPr>
            <w:tcW w:w="2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from continuing operations (attributable to NCR Voyix)</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11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89</w:t>
            </w:r>
          </w:p>
        </w:tc>
        <w:tc>
          <w:tcPr>
            <w:tcW w:w="80" w:type="dxa"/>
            <w:vAlign w:val="bottom"/>
          </w:tcPr>
          <w:p>
            <w:pPr>
              <w:spacing w:after="0"/>
              <w:rPr>
                <w:sz w:val="20"/>
                <w:szCs w:val="20"/>
                <w:color w:val="auto"/>
              </w:rPr>
            </w:pP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3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Dividends on convertible preferred shares</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0"/>
        </w:trPr>
        <w:tc>
          <w:tcPr>
            <w:tcW w:w="6280" w:type="dxa"/>
            <w:vAlign w:val="bottom"/>
          </w:tcPr>
          <w:p>
            <w:pPr>
              <w:ind w:left="20"/>
              <w:spacing w:after="0" w:line="161" w:lineRule="exact"/>
              <w:rPr>
                <w:sz w:val="20"/>
                <w:szCs w:val="20"/>
                <w:color w:val="auto"/>
              </w:rPr>
            </w:pPr>
            <w:r>
              <w:rPr>
                <w:rFonts w:ascii="Times New Roman" w:cs="Times New Roman" w:eastAsia="Times New Roman" w:hAnsi="Times New Roman"/>
                <w:sz w:val="17"/>
                <w:szCs w:val="17"/>
                <w:color w:val="auto"/>
              </w:rPr>
              <w:t>Income (loss) from continuing operations attributable to NCR Voyix common</w:t>
            </w:r>
          </w:p>
        </w:tc>
        <w:tc>
          <w:tcPr>
            <w:tcW w:w="260" w:type="dxa"/>
            <w:vAlign w:val="bottom"/>
            <w:tcBorders>
              <w:top w:val="single" w:sz="8" w:color="auto"/>
            </w:tcBorders>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top w:val="single" w:sz="8" w:color="auto"/>
            </w:tcBorders>
            <w:vMerge w:val="restart"/>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w:t>
            </w: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89</w:t>
            </w: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w:t>
            </w:r>
          </w:p>
        </w:tc>
        <w:tc>
          <w:tcPr>
            <w:tcW w:w="26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3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Weighted average outstanding shares:</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diluted shares outstanding</w:t>
            </w:r>
          </w:p>
        </w:tc>
        <w:tc>
          <w:tcPr>
            <w:tcW w:w="26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140.0</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140.0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138.6</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141.1</w:t>
            </w:r>
          </w:p>
        </w:tc>
        <w:tc>
          <w:tcPr>
            <w:tcW w:w="0" w:type="dxa"/>
            <w:vAlign w:val="bottom"/>
          </w:tcPr>
          <w:p>
            <w:pPr>
              <w:spacing w:after="0"/>
              <w:rPr>
                <w:sz w:val="1"/>
                <w:szCs w:val="1"/>
                <w:color w:val="auto"/>
              </w:rPr>
            </w:pPr>
          </w:p>
        </w:tc>
      </w:tr>
      <w:tr>
        <w:trPr>
          <w:trHeight w:val="23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as-if converted preferred shares</w:t>
            </w: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11.9</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0" w:type="dxa"/>
            <w:vAlign w:val="bottom"/>
          </w:tcPr>
          <w:p>
            <w:pPr>
              <w:spacing w:after="0"/>
              <w:rPr>
                <w:sz w:val="1"/>
                <w:szCs w:val="1"/>
                <w:color w:val="auto"/>
              </w:rPr>
            </w:pPr>
          </w:p>
        </w:tc>
      </w:tr>
      <w:tr>
        <w:trPr>
          <w:trHeight w:val="225"/>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shares used in diluted earnings per share</w:t>
            </w:r>
          </w:p>
        </w:tc>
        <w:tc>
          <w:tcPr>
            <w:tcW w:w="26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140.0</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151.9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138.6</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157.0</w:t>
            </w:r>
          </w:p>
        </w:tc>
        <w:tc>
          <w:tcPr>
            <w:tcW w:w="0" w:type="dxa"/>
            <w:vAlign w:val="bottom"/>
          </w:tcPr>
          <w:p>
            <w:pPr>
              <w:spacing w:after="0"/>
              <w:rPr>
                <w:sz w:val="1"/>
                <w:szCs w:val="1"/>
                <w:color w:val="auto"/>
              </w:rPr>
            </w:pPr>
          </w:p>
        </w:tc>
      </w:tr>
      <w:tr>
        <w:trPr>
          <w:trHeight w:val="23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Diluted earnings per share from continuing operations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0.01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0.59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0.55</w:t>
            </w:r>
          </w:p>
        </w:tc>
        <w:tc>
          <w:tcPr>
            <w:tcW w:w="0" w:type="dxa"/>
            <w:vAlign w:val="bottom"/>
          </w:tcPr>
          <w:p>
            <w:pPr>
              <w:spacing w:after="0"/>
              <w:rPr>
                <w:sz w:val="1"/>
                <w:szCs w:val="1"/>
                <w:color w:val="auto"/>
              </w:rPr>
            </w:pPr>
          </w:p>
        </w:tc>
      </w:tr>
      <w:tr>
        <w:trPr>
          <w:trHeight w:val="761"/>
        </w:trPr>
        <w:tc>
          <w:tcPr>
            <w:tcW w:w="6280" w:type="dxa"/>
            <w:vAlign w:val="bottom"/>
          </w:tcPr>
          <w:p>
            <w:pPr>
              <w:ind w:left="5580"/>
              <w:spacing w:after="0"/>
              <w:rPr>
                <w:sz w:val="20"/>
                <w:szCs w:val="20"/>
                <w:color w:val="auto"/>
              </w:rPr>
            </w:pPr>
            <w:r>
              <w:rPr>
                <w:rFonts w:ascii="Times New Roman" w:cs="Times New Roman" w:eastAsia="Times New Roman" w:hAnsi="Times New Roman"/>
                <w:sz w:val="17"/>
                <w:szCs w:val="17"/>
                <w:color w:val="auto"/>
              </w:rPr>
              <w:t>8</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3"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340" w:type="dxa"/>
            <w:vAlign w:val="bottom"/>
            <w:tcBorders>
              <w:bottom w:val="single" w:sz="8" w:color="auto"/>
            </w:tcBorders>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gridSpan w:val="3"/>
          </w:tcPr>
          <w:p>
            <w:pPr>
              <w:ind w:left="20"/>
              <w:spacing w:after="0" w:line="173"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200" w:type="dxa"/>
            <w:vAlign w:val="bottom"/>
            <w:gridSpan w:val="3"/>
          </w:tcPr>
          <w:p>
            <w:pPr>
              <w:ind w:left="20"/>
              <w:spacing w:after="0" w:line="173"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200" w:type="dxa"/>
            <w:vAlign w:val="bottom"/>
            <w:gridSpan w:val="3"/>
          </w:tcPr>
          <w:p>
            <w:pPr>
              <w:ind w:left="20"/>
              <w:spacing w:after="0" w:line="173"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10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30"/>
        </w:trPr>
        <w:tc>
          <w:tcPr>
            <w:tcW w:w="20" w:type="dxa"/>
            <w:vAlign w:val="bottom"/>
            <w:tcBorders>
              <w:bottom w:val="single" w:sz="8" w:color="CCEEFF"/>
            </w:tcBorders>
          </w:tcPr>
          <w:p>
            <w:pPr>
              <w:spacing w:after="0"/>
              <w:rPr>
                <w:sz w:val="19"/>
                <w:szCs w:val="19"/>
                <w:color w:val="auto"/>
              </w:rPr>
            </w:pPr>
          </w:p>
        </w:tc>
        <w:tc>
          <w:tcPr>
            <w:tcW w:w="65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340" w:type="dxa"/>
            <w:vAlign w:val="bottom"/>
            <w:tcBorders>
              <w:bottom w:val="single" w:sz="8" w:color="auto"/>
            </w:tcBorders>
          </w:tcPr>
          <w:p>
            <w:pPr>
              <w:spacing w:after="0"/>
              <w:rPr>
                <w:sz w:val="19"/>
                <w:szCs w:val="19"/>
                <w:color w:val="auto"/>
              </w:rPr>
            </w:pPr>
          </w:p>
        </w:tc>
      </w:tr>
      <w:tr>
        <w:trPr>
          <w:trHeight w:val="227"/>
        </w:trPr>
        <w:tc>
          <w:tcPr>
            <w:tcW w:w="20" w:type="dxa"/>
            <w:vAlign w:val="bottom"/>
            <w:shd w:val="clear" w:color="auto" w:fill="CCEEFF"/>
          </w:tcPr>
          <w:p>
            <w:pPr>
              <w:spacing w:after="0"/>
              <w:rPr>
                <w:sz w:val="19"/>
                <w:szCs w:val="19"/>
                <w:color w:val="auto"/>
              </w:rPr>
            </w:pPr>
          </w:p>
        </w:tc>
        <w:tc>
          <w:tcPr>
            <w:tcW w:w="6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Income (loss) from continuing operations attributable to NCR Voyix</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58"/>
        </w:trPr>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193"/>
        </w:trPr>
        <w:tc>
          <w:tcPr>
            <w:tcW w:w="20" w:type="dxa"/>
            <w:vAlign w:val="bottom"/>
            <w:shd w:val="clear" w:color="auto" w:fill="CCEEFF"/>
          </w:tcPr>
          <w:p>
            <w:pPr>
              <w:spacing w:after="0"/>
              <w:rPr>
                <w:sz w:val="16"/>
                <w:szCs w:val="16"/>
                <w:color w:val="auto"/>
              </w:rPr>
            </w:pPr>
          </w:p>
        </w:tc>
        <w:tc>
          <w:tcPr>
            <w:tcW w:w="652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Non-GAAP adjustments to income (loss) from continuing operations attributable to NCR</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r>
      <w:tr>
        <w:trPr>
          <w:trHeight w:val="148"/>
        </w:trPr>
        <w:tc>
          <w:tcPr>
            <w:tcW w:w="20" w:type="dxa"/>
            <w:vAlign w:val="bottom"/>
            <w:tcBorders>
              <w:top w:val="single" w:sz="8" w:color="CCEEFF"/>
            </w:tcBorders>
            <w:shd w:val="clear" w:color="auto" w:fill="CCEEFF"/>
          </w:tcPr>
          <w:p>
            <w:pPr>
              <w:spacing w:after="0"/>
              <w:rPr>
                <w:sz w:val="12"/>
                <w:szCs w:val="12"/>
                <w:color w:val="auto"/>
              </w:rPr>
            </w:pPr>
          </w:p>
        </w:tc>
        <w:tc>
          <w:tcPr>
            <w:tcW w:w="6140" w:type="dxa"/>
            <w:vAlign w:val="bottom"/>
            <w:tcBorders>
              <w:top w:val="single" w:sz="8" w:color="auto"/>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7"/>
                <w:szCs w:val="17"/>
                <w:color w:val="auto"/>
              </w:rPr>
              <w:t>Voyix</w:t>
            </w:r>
          </w:p>
        </w:tc>
        <w:tc>
          <w:tcPr>
            <w:tcW w:w="3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57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r>
      <w:tr>
        <w:trPr>
          <w:trHeight w:val="232"/>
        </w:trPr>
        <w:tc>
          <w:tcPr>
            <w:tcW w:w="20" w:type="dxa"/>
            <w:vAlign w:val="bottom"/>
          </w:tcPr>
          <w:p>
            <w:pPr>
              <w:spacing w:after="0"/>
              <w:rPr>
                <w:sz w:val="20"/>
                <w:szCs w:val="20"/>
                <w:color w:val="auto"/>
              </w:rPr>
            </w:pPr>
          </w:p>
        </w:tc>
        <w:tc>
          <w:tcPr>
            <w:tcW w:w="65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Acquisition-related amortization of intangibles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32"/>
        </w:trPr>
        <w:tc>
          <w:tcPr>
            <w:tcW w:w="20" w:type="dxa"/>
            <w:vAlign w:val="bottom"/>
            <w:shd w:val="clear" w:color="auto" w:fill="CCEEFF"/>
          </w:tcPr>
          <w:p>
            <w:pPr>
              <w:spacing w:after="0"/>
              <w:rPr>
                <w:sz w:val="20"/>
                <w:szCs w:val="20"/>
                <w:color w:val="auto"/>
              </w:rPr>
            </w:pPr>
          </w:p>
        </w:tc>
        <w:tc>
          <w:tcPr>
            <w:tcW w:w="6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32"/>
        </w:trPr>
        <w:tc>
          <w:tcPr>
            <w:tcW w:w="20" w:type="dxa"/>
            <w:vAlign w:val="bottom"/>
          </w:tcPr>
          <w:p>
            <w:pPr>
              <w:spacing w:after="0"/>
              <w:rPr>
                <w:sz w:val="20"/>
                <w:szCs w:val="20"/>
                <w:color w:val="auto"/>
              </w:rPr>
            </w:pPr>
          </w:p>
        </w:tc>
        <w:tc>
          <w:tcPr>
            <w:tcW w:w="65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Transformation and restructuring costs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62</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32"/>
        </w:trPr>
        <w:tc>
          <w:tcPr>
            <w:tcW w:w="20" w:type="dxa"/>
            <w:vAlign w:val="bottom"/>
            <w:shd w:val="clear" w:color="auto" w:fill="CCEEFF"/>
          </w:tcPr>
          <w:p>
            <w:pPr>
              <w:spacing w:after="0"/>
              <w:rPr>
                <w:sz w:val="20"/>
                <w:szCs w:val="20"/>
                <w:color w:val="auto"/>
              </w:rPr>
            </w:pPr>
          </w:p>
        </w:tc>
        <w:tc>
          <w:tcPr>
            <w:tcW w:w="6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(gain) on disposal of businesses</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2"/>
        </w:trPr>
        <w:tc>
          <w:tcPr>
            <w:tcW w:w="20" w:type="dxa"/>
            <w:vAlign w:val="bottom"/>
          </w:tcPr>
          <w:p>
            <w:pPr>
              <w:spacing w:after="0"/>
              <w:rPr>
                <w:sz w:val="20"/>
                <w:szCs w:val="20"/>
                <w:color w:val="auto"/>
              </w:rPr>
            </w:pPr>
          </w:p>
        </w:tc>
        <w:tc>
          <w:tcPr>
            <w:tcW w:w="65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Strategic initiatives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32"/>
        </w:trPr>
        <w:tc>
          <w:tcPr>
            <w:tcW w:w="20" w:type="dxa"/>
            <w:vAlign w:val="bottom"/>
            <w:shd w:val="clear" w:color="auto" w:fill="CCEEFF"/>
          </w:tcPr>
          <w:p>
            <w:pPr>
              <w:spacing w:after="0"/>
              <w:rPr>
                <w:sz w:val="20"/>
                <w:szCs w:val="20"/>
                <w:color w:val="auto"/>
              </w:rPr>
            </w:pPr>
          </w:p>
        </w:tc>
        <w:tc>
          <w:tcPr>
            <w:tcW w:w="6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Litigation costs</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45"/>
        </w:trPr>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32"/>
        </w:trPr>
        <w:tc>
          <w:tcPr>
            <w:tcW w:w="20" w:type="dxa"/>
            <w:vAlign w:val="bottom"/>
            <w:shd w:val="clear" w:color="auto" w:fill="CCEEFF"/>
          </w:tcPr>
          <w:p>
            <w:pPr>
              <w:spacing w:after="0"/>
              <w:rPr>
                <w:sz w:val="20"/>
                <w:szCs w:val="20"/>
                <w:color w:val="auto"/>
              </w:rPr>
            </w:pPr>
          </w:p>
        </w:tc>
        <w:tc>
          <w:tcPr>
            <w:tcW w:w="6520" w:type="dxa"/>
            <w:vAlign w:val="bottom"/>
            <w:gridSpan w:val="3"/>
            <w:shd w:val="clear" w:color="auto" w:fill="CCEEFF"/>
          </w:tcPr>
          <w:p>
            <w:pPr>
              <w:spacing w:after="0" w:line="232" w:lineRule="exact"/>
              <w:rPr>
                <w:sz w:val="20"/>
                <w:szCs w:val="20"/>
                <w:color w:val="auto"/>
              </w:rPr>
            </w:pPr>
            <w:r>
              <w:rPr>
                <w:rFonts w:ascii="Times New Roman" w:cs="Times New Roman" w:eastAsia="Times New Roman" w:hAnsi="Times New Roman"/>
                <w:sz w:val="17"/>
                <w:szCs w:val="17"/>
                <w:color w:val="auto"/>
              </w:rPr>
              <w:t>Tax effect of non-GAAP adjustments</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(57)</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45"/>
        </w:trPr>
        <w:tc>
          <w:tcPr>
            <w:tcW w:w="2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574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Non-GAAP income (loss) from continuing operations (attributable to NCR Voyix)</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bl>
    <w:p>
      <w:pPr>
        <w:spacing w:after="0" w:line="16" w:lineRule="exact"/>
        <w:rPr>
          <w:sz w:val="20"/>
          <w:szCs w:val="20"/>
          <w:color w:val="auto"/>
        </w:rPr>
      </w:pPr>
    </w:p>
    <w:p>
      <w:pPr>
        <w:jc w:val="both"/>
        <w:ind w:firstLine="3"/>
        <w:spacing w:after="0" w:line="270" w:lineRule="auto"/>
        <w:tabs>
          <w:tab w:leader="none" w:pos="145" w:val="left"/>
        </w:tabs>
        <w:numPr>
          <w:ilvl w:val="0"/>
          <w:numId w:val="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For the three months ended September 30, 2026, the tax effect of non-GAAP adjustments includes applying an annual forecasted non-GAAP tax rate of 30% as well as $8 million of discrete tax benefits. For the three months ended September 30, 2025, the tax effect of non-GAAP adjustments includes applying an annual forecasted non-GAAP tax rate of 26% as well as $3 million of discrete tax benefits. For the nine months ended September 30, 2026, the tax effect of non-GAAP adjustments includes applying an annual forecasted non-GAAP tax rate of 30% as well as $10 million of discrete tax benefits. For the nine months ended September 30, 2025, the tax effect of non-GAAP adjustments includes applying an annual forecasted non-GAAP tax rate of 26% as well as $10 million of discrete tax benefits.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Reconciliation of Net Cash Provided by Operating Activities (GAAP) to Adjusted Free Cash Flow-Unrestricted before restructuring costs (Non-GAAP)</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80" w:type="dxa"/>
            <w:vAlign w:val="bottom"/>
          </w:tcPr>
          <w:p>
            <w:pPr>
              <w:spacing w:after="0"/>
              <w:rPr>
                <w:sz w:val="19"/>
                <w:szCs w:val="19"/>
                <w:color w:val="auto"/>
              </w:rPr>
            </w:pPr>
          </w:p>
        </w:tc>
        <w:tc>
          <w:tcPr>
            <w:tcW w:w="17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0" w:type="dxa"/>
            <w:vAlign w:val="bottom"/>
          </w:tcPr>
          <w:p>
            <w:pPr>
              <w:spacing w:after="0"/>
              <w:rPr>
                <w:sz w:val="1"/>
                <w:szCs w:val="1"/>
                <w:color w:val="auto"/>
              </w:rPr>
            </w:pPr>
          </w:p>
        </w:tc>
      </w:tr>
      <w:tr>
        <w:trPr>
          <w:trHeight w:val="22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20" w:type="dxa"/>
            <w:vAlign w:val="bottom"/>
          </w:tcPr>
          <w:p>
            <w:pPr>
              <w:spacing w:after="0"/>
              <w:rPr>
                <w:sz w:val="19"/>
                <w:szCs w:val="19"/>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September 30, 2026</w:t>
            </w:r>
          </w:p>
        </w:tc>
        <w:tc>
          <w:tcPr>
            <w:tcW w:w="120" w:type="dxa"/>
            <w:vAlign w:val="bottom"/>
          </w:tcPr>
          <w:p>
            <w:pPr>
              <w:spacing w:after="0"/>
              <w:rPr>
                <w:sz w:val="19"/>
                <w:szCs w:val="19"/>
                <w:color w:val="auto"/>
              </w:rPr>
            </w:pPr>
          </w:p>
        </w:tc>
        <w:tc>
          <w:tcPr>
            <w:tcW w:w="156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9"/>
              </w:rPr>
              <w:t>September 30, 2026</w:t>
            </w:r>
          </w:p>
        </w:tc>
        <w:tc>
          <w:tcPr>
            <w:tcW w:w="0" w:type="dxa"/>
            <w:vAlign w:val="bottom"/>
          </w:tcPr>
          <w:p>
            <w:pPr>
              <w:spacing w:after="0"/>
              <w:rPr>
                <w:sz w:val="1"/>
                <w:szCs w:val="1"/>
                <w:color w:val="auto"/>
              </w:rPr>
            </w:pPr>
          </w:p>
        </w:tc>
      </w:tr>
      <w:tr>
        <w:trPr>
          <w:trHeight w:val="225"/>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(used in) operating activities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76</w:t>
            </w:r>
          </w:p>
        </w:tc>
        <w:tc>
          <w:tcPr>
            <w:tcW w:w="0" w:type="dxa"/>
            <w:vAlign w:val="bottom"/>
          </w:tcPr>
          <w:p>
            <w:pPr>
              <w:spacing w:after="0"/>
              <w:rPr>
                <w:sz w:val="1"/>
                <w:szCs w:val="1"/>
                <w:color w:val="auto"/>
              </w:rPr>
            </w:pPr>
          </w:p>
        </w:tc>
      </w:tr>
      <w:tr>
        <w:trPr>
          <w:trHeight w:val="232"/>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23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 settlement activity</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32"/>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 contributions</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3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Collections on purchased trade receivables</w:t>
            </w: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32"/>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Collections on non-operating receivables</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0" w:type="dxa"/>
            <w:vAlign w:val="bottom"/>
          </w:tcPr>
          <w:p>
            <w:pPr>
              <w:spacing w:after="0"/>
              <w:rPr>
                <w:sz w:val="1"/>
                <w:szCs w:val="1"/>
                <w:color w:val="auto"/>
              </w:rPr>
            </w:pPr>
          </w:p>
        </w:tc>
      </w:tr>
      <w:tr>
        <w:trPr>
          <w:trHeight w:val="23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activity related to environmental discontinued operations</w:t>
            </w: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5"/>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free cash flow-unrestricted (non-GAAP)</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75</w:t>
            </w:r>
          </w:p>
        </w:tc>
        <w:tc>
          <w:tcPr>
            <w:tcW w:w="0" w:type="dxa"/>
            <w:vAlign w:val="bottom"/>
          </w:tcPr>
          <w:p>
            <w:pPr>
              <w:spacing w:after="0"/>
              <w:rPr>
                <w:sz w:val="1"/>
                <w:szCs w:val="1"/>
                <w:color w:val="auto"/>
              </w:rPr>
            </w:pPr>
          </w:p>
        </w:tc>
      </w:tr>
      <w:tr>
        <w:trPr>
          <w:trHeight w:val="23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Restructuring costs</w:t>
            </w:r>
          </w:p>
        </w:tc>
        <w:tc>
          <w:tcPr>
            <w:tcW w:w="12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225"/>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free cash flow-unrestricted before restructuring costs (non-GAAP)</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189</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5580"/>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6"/>
        </w:trPr>
        <w:tc>
          <w:tcPr>
            <w:tcW w:w="7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35"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40" w:type="dxa"/>
            <w:vAlign w:val="bottom"/>
            <w:gridSpan w:val="2"/>
          </w:tcPr>
          <w:p>
            <w:pPr>
              <w:jc w:val="center"/>
              <w:ind w:left="4575"/>
              <w:spacing w:after="0"/>
              <w:rPr>
                <w:sz w:val="20"/>
                <w:szCs w:val="20"/>
                <w:color w:val="auto"/>
              </w:rPr>
            </w:pPr>
            <w:r>
              <w:rPr>
                <w:rFonts w:ascii="Times New Roman" w:cs="Times New Roman" w:eastAsia="Times New Roman" w:hAnsi="Times New Roman"/>
                <w:sz w:val="17"/>
                <w:szCs w:val="17"/>
                <w:b w:val="1"/>
                <w:bCs w:val="1"/>
                <w:color w:val="auto"/>
              </w:rPr>
              <w:t>NCR VOYIX CORPORATION</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8000" w:type="dxa"/>
            <w:vAlign w:val="bottom"/>
            <w:gridSpan w:val="4"/>
          </w:tcPr>
          <w:p>
            <w:pPr>
              <w:jc w:val="center"/>
              <w:ind w:left="3695"/>
              <w:spacing w:after="0" w:line="167" w:lineRule="exact"/>
              <w:rPr>
                <w:sz w:val="20"/>
                <w:szCs w:val="20"/>
                <w:color w:val="auto"/>
              </w:rPr>
            </w:pPr>
            <w:r>
              <w:rPr>
                <w:rFonts w:ascii="Times New Roman" w:cs="Times New Roman" w:eastAsia="Times New Roman" w:hAnsi="Times New Roman"/>
                <w:sz w:val="17"/>
                <w:szCs w:val="17"/>
                <w:b w:val="1"/>
                <w:bCs w:val="1"/>
                <w:color w:val="auto"/>
                <w:w w:val="99"/>
              </w:rPr>
              <w:t>CONSOLIDATED STATEMENTS OF OPERATIONS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gridSpan w:val="3"/>
            <w:vMerge w:val="restart"/>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Schedule A</w:t>
            </w:r>
          </w:p>
        </w:tc>
        <w:tc>
          <w:tcPr>
            <w:tcW w:w="0" w:type="dxa"/>
            <w:vAlign w:val="bottom"/>
          </w:tcPr>
          <w:p>
            <w:pPr>
              <w:spacing w:after="0"/>
              <w:rPr>
                <w:sz w:val="1"/>
                <w:szCs w:val="1"/>
                <w:color w:val="auto"/>
              </w:rPr>
            </w:pPr>
          </w:p>
        </w:tc>
      </w:tr>
      <w:tr>
        <w:trPr>
          <w:trHeight w:val="142"/>
        </w:trPr>
        <w:tc>
          <w:tcPr>
            <w:tcW w:w="6900" w:type="dxa"/>
            <w:vAlign w:val="bottom"/>
            <w:vMerge w:val="restart"/>
          </w:tcPr>
          <w:p>
            <w:pPr>
              <w:jc w:val="center"/>
              <w:ind w:left="4815"/>
              <w:spacing w:after="0" w:line="173" w:lineRule="exact"/>
              <w:rPr>
                <w:sz w:val="20"/>
                <w:szCs w:val="20"/>
                <w:color w:val="auto"/>
              </w:rPr>
            </w:pPr>
            <w:r>
              <w:rPr>
                <w:rFonts w:ascii="Times New Roman" w:cs="Times New Roman" w:eastAsia="Times New Roman" w:hAnsi="Times New Roman"/>
                <w:sz w:val="17"/>
                <w:szCs w:val="17"/>
                <w:b w:val="1"/>
                <w:bCs w:val="1"/>
                <w:color w:val="auto"/>
              </w:rPr>
              <w:t>(Unaudited)</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69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8000" w:type="dxa"/>
            <w:vAlign w:val="bottom"/>
            <w:gridSpan w:val="4"/>
          </w:tcPr>
          <w:p>
            <w:pPr>
              <w:jc w:val="center"/>
              <w:ind w:left="3715"/>
              <w:spacing w:after="0"/>
              <w:rPr>
                <w:sz w:val="20"/>
                <w:szCs w:val="20"/>
                <w:color w:val="auto"/>
              </w:rPr>
            </w:pPr>
            <w:r>
              <w:rPr>
                <w:rFonts w:ascii="Times New Roman" w:cs="Times New Roman" w:eastAsia="Times New Roman" w:hAnsi="Times New Roman"/>
                <w:sz w:val="17"/>
                <w:szCs w:val="17"/>
                <w:b w:val="1"/>
                <w:bCs w:val="1"/>
                <w:color w:val="auto"/>
              </w:rPr>
              <w:t>(in millions, except per share amounts)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5"/>
        </w:trPr>
        <w:tc>
          <w:tcPr>
            <w:tcW w:w="6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7"/>
                <w:szCs w:val="17"/>
                <w:b w:val="1"/>
                <w:bCs w:val="1"/>
                <w:color w:val="auto"/>
              </w:rPr>
              <w:t>For the Period Ended September 30</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5"/>
          </w:tcPr>
          <w:p>
            <w:pPr>
              <w:ind w:left="300"/>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220" w:type="dxa"/>
            <w:vAlign w:val="bottom"/>
          </w:tcPr>
          <w:p>
            <w:pPr>
              <w:spacing w:after="0"/>
              <w:rPr>
                <w:sz w:val="19"/>
                <w:szCs w:val="19"/>
                <w:color w:val="auto"/>
              </w:rPr>
            </w:pPr>
          </w:p>
        </w:tc>
        <w:tc>
          <w:tcPr>
            <w:tcW w:w="1900" w:type="dxa"/>
            <w:vAlign w:val="bottom"/>
            <w:gridSpan w:val="4"/>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Nine Months</w:t>
            </w:r>
          </w:p>
        </w:tc>
        <w:tc>
          <w:tcPr>
            <w:tcW w:w="0" w:type="dxa"/>
            <w:vAlign w:val="bottom"/>
          </w:tcPr>
          <w:p>
            <w:pPr>
              <w:spacing w:after="0"/>
              <w:rPr>
                <w:sz w:val="1"/>
                <w:szCs w:val="1"/>
                <w:color w:val="auto"/>
              </w:rPr>
            </w:pPr>
          </w:p>
        </w:tc>
      </w:tr>
      <w:tr>
        <w:trPr>
          <w:trHeight w:val="225"/>
        </w:trPr>
        <w:tc>
          <w:tcPr>
            <w:tcW w:w="69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212"/>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35</w:t>
            </w:r>
          </w:p>
        </w:tc>
        <w:tc>
          <w:tcPr>
            <w:tcW w:w="80" w:type="dxa"/>
            <w:vAlign w:val="bottom"/>
          </w:tcPr>
          <w:p>
            <w:pPr>
              <w:spacing w:after="0"/>
              <w:rPr>
                <w:sz w:val="20"/>
                <w:szCs w:val="20"/>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0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211</w:t>
            </w:r>
          </w:p>
        </w:tc>
        <w:tc>
          <w:tcPr>
            <w:tcW w:w="34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535</w:t>
            </w:r>
          </w:p>
        </w:tc>
        <w:tc>
          <w:tcPr>
            <w:tcW w:w="0" w:type="dxa"/>
            <w:vAlign w:val="bottom"/>
          </w:tcPr>
          <w:p>
            <w:pPr>
              <w:spacing w:after="0"/>
              <w:rPr>
                <w:sz w:val="1"/>
                <w:szCs w:val="1"/>
                <w:color w:val="auto"/>
              </w:rPr>
            </w:pPr>
          </w:p>
        </w:tc>
      </w:tr>
      <w:tr>
        <w:trPr>
          <w:trHeight w:val="232"/>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504</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479</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1,457</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1,414</w:t>
            </w:r>
          </w:p>
        </w:tc>
        <w:tc>
          <w:tcPr>
            <w:tcW w:w="0" w:type="dxa"/>
            <w:vAlign w:val="bottom"/>
          </w:tcPr>
          <w:p>
            <w:pPr>
              <w:spacing w:after="0"/>
              <w:rPr>
                <w:sz w:val="1"/>
                <w:szCs w:val="1"/>
                <w:color w:val="auto"/>
              </w:rPr>
            </w:pPr>
          </w:p>
        </w:tc>
      </w:tr>
      <w:tr>
        <w:trPr>
          <w:trHeight w:val="225"/>
        </w:trPr>
        <w:tc>
          <w:tcPr>
            <w:tcW w:w="6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40" w:type="dxa"/>
            <w:vAlign w:val="bottom"/>
          </w:tcPr>
          <w:p>
            <w:pPr>
              <w:spacing w:after="0"/>
              <w:rPr>
                <w:sz w:val="19"/>
                <w:szCs w:val="19"/>
                <w:color w:val="auto"/>
              </w:rPr>
            </w:pPr>
          </w:p>
        </w:tc>
        <w:tc>
          <w:tcPr>
            <w:tcW w:w="78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539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677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1,668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1,949</w:t>
            </w:r>
          </w:p>
        </w:tc>
        <w:tc>
          <w:tcPr>
            <w:tcW w:w="0" w:type="dxa"/>
            <w:vAlign w:val="bottom"/>
          </w:tcPr>
          <w:p>
            <w:pPr>
              <w:spacing w:after="0"/>
              <w:rPr>
                <w:sz w:val="1"/>
                <w:szCs w:val="1"/>
                <w:color w:val="auto"/>
              </w:rPr>
            </w:pPr>
          </w:p>
        </w:tc>
      </w:tr>
      <w:tr>
        <w:trPr>
          <w:trHeight w:val="232"/>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products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29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167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192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481</w:t>
            </w:r>
          </w:p>
        </w:tc>
        <w:tc>
          <w:tcPr>
            <w:tcW w:w="0" w:type="dxa"/>
            <w:vAlign w:val="bottom"/>
          </w:tcPr>
          <w:p>
            <w:pPr>
              <w:spacing w:after="0"/>
              <w:rPr>
                <w:sz w:val="1"/>
                <w:szCs w:val="1"/>
                <w:color w:val="auto"/>
              </w:rPr>
            </w:pPr>
          </w:p>
        </w:tc>
      </w:tr>
      <w:tr>
        <w:trPr>
          <w:trHeight w:val="232"/>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services</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333</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346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1,013</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1,020</w:t>
            </w:r>
          </w:p>
        </w:tc>
        <w:tc>
          <w:tcPr>
            <w:tcW w:w="0" w:type="dxa"/>
            <w:vAlign w:val="bottom"/>
          </w:tcPr>
          <w:p>
            <w:pPr>
              <w:spacing w:after="0"/>
              <w:rPr>
                <w:sz w:val="1"/>
                <w:szCs w:val="1"/>
                <w:color w:val="auto"/>
              </w:rPr>
            </w:pPr>
          </w:p>
        </w:tc>
      </w:tr>
      <w:tr>
        <w:trPr>
          <w:trHeight w:val="22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gross margin</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177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463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448</w:t>
            </w:r>
          </w:p>
        </w:tc>
        <w:tc>
          <w:tcPr>
            <w:tcW w:w="0" w:type="dxa"/>
            <w:vAlign w:val="bottom"/>
          </w:tcPr>
          <w:p>
            <w:pPr>
              <w:spacing w:after="0"/>
              <w:rPr>
                <w:sz w:val="1"/>
                <w:szCs w:val="1"/>
                <w:color w:val="auto"/>
              </w:rPr>
            </w:pP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 of Revenue</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32.8 %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24.2 %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27.8 %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23.0 %</w:t>
            </w:r>
          </w:p>
        </w:tc>
        <w:tc>
          <w:tcPr>
            <w:tcW w:w="0" w:type="dxa"/>
            <w:vAlign w:val="bottom"/>
          </w:tcPr>
          <w:p>
            <w:pPr>
              <w:spacing w:after="0"/>
              <w:rPr>
                <w:sz w:val="1"/>
                <w:szCs w:val="1"/>
                <w:color w:val="auto"/>
              </w:rPr>
            </w:pPr>
          </w:p>
        </w:tc>
      </w:tr>
      <w:tr>
        <w:trPr>
          <w:trHeight w:val="23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104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326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330</w:t>
            </w:r>
          </w:p>
        </w:tc>
        <w:tc>
          <w:tcPr>
            <w:tcW w:w="0" w:type="dxa"/>
            <w:vAlign w:val="bottom"/>
          </w:tcPr>
          <w:p>
            <w:pPr>
              <w:spacing w:after="0"/>
              <w:rPr>
                <w:sz w:val="1"/>
                <w:szCs w:val="1"/>
                <w:color w:val="auto"/>
              </w:rPr>
            </w:pPr>
          </w:p>
        </w:tc>
      </w:tr>
      <w:tr>
        <w:trPr>
          <w:trHeight w:val="232"/>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31</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100</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112</w:t>
            </w:r>
          </w:p>
        </w:tc>
        <w:tc>
          <w:tcPr>
            <w:tcW w:w="0" w:type="dxa"/>
            <w:vAlign w:val="bottom"/>
          </w:tcPr>
          <w:p>
            <w:pPr>
              <w:spacing w:after="0"/>
              <w:rPr>
                <w:sz w:val="1"/>
                <w:szCs w:val="1"/>
                <w:color w:val="auto"/>
              </w:rPr>
            </w:pPr>
          </w:p>
        </w:tc>
      </w:tr>
      <w:tr>
        <w:trPr>
          <w:trHeight w:val="22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from operations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42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37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 of Revenue</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7.8 %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2.1 %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2.2 %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0.3 %</w:t>
            </w:r>
          </w:p>
        </w:tc>
        <w:tc>
          <w:tcPr>
            <w:tcW w:w="0" w:type="dxa"/>
            <w:vAlign w:val="bottom"/>
          </w:tcPr>
          <w:p>
            <w:pPr>
              <w:spacing w:after="0"/>
              <w:rPr>
                <w:sz w:val="1"/>
                <w:szCs w:val="1"/>
                <w:color w:val="auto"/>
              </w:rPr>
            </w:pPr>
          </w:p>
        </w:tc>
      </w:tr>
      <w:tr>
        <w:trPr>
          <w:trHeight w:val="23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(16)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(46)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32"/>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(5)</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(13)</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2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interest and other expense, net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(21)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(59)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32"/>
        </w:trPr>
        <w:tc>
          <w:tcPr>
            <w:tcW w:w="6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from continuing operations before income taxes</w:t>
            </w:r>
          </w:p>
        </w:tc>
        <w:tc>
          <w:tcPr>
            <w:tcW w:w="240" w:type="dxa"/>
            <w:vAlign w:val="bottom"/>
          </w:tcPr>
          <w:p>
            <w:pPr>
              <w:spacing w:after="0"/>
              <w:rPr>
                <w:sz w:val="20"/>
                <w:szCs w:val="20"/>
                <w:color w:val="auto"/>
              </w:rPr>
            </w:pPr>
          </w:p>
        </w:tc>
        <w:tc>
          <w:tcPr>
            <w:tcW w:w="78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21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(22)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 of Revenue</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3.9 %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(1.3)%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(2.9)%</w:t>
            </w:r>
          </w:p>
        </w:tc>
        <w:tc>
          <w:tcPr>
            <w:tcW w:w="0" w:type="dxa"/>
            <w:vAlign w:val="bottom"/>
          </w:tcPr>
          <w:p>
            <w:pPr>
              <w:spacing w:after="0"/>
              <w:rPr>
                <w:sz w:val="1"/>
                <w:szCs w:val="1"/>
                <w:color w:val="auto"/>
              </w:rPr>
            </w:pPr>
          </w:p>
        </w:tc>
      </w:tr>
      <w:tr>
        <w:trPr>
          <w:trHeight w:val="232"/>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7</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(33)</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2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from continuing operations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32"/>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(loss) from discontinued operations, net of tax</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10</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10</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4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attributable to NCR Voyix</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24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21</w:t>
            </w:r>
          </w:p>
        </w:tc>
        <w:tc>
          <w:tcPr>
            <w:tcW w:w="34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Amounts attributable to NCR Voyix common stockholders: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9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continuing operations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11</w:t>
            </w:r>
          </w:p>
        </w:tc>
        <w:tc>
          <w:tcPr>
            <w:tcW w:w="34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32"/>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Dividends on convertible preferred stock</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(3)</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(9)</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25"/>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(loss) from continuing operations attributable to NCR Voyix common stockholders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32"/>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(loss) from discontinued operations, net of tax</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10</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10</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45"/>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income (loss) attributable to NCR Voyix common stockholders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21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12</w:t>
            </w:r>
          </w:p>
        </w:tc>
        <w:tc>
          <w:tcPr>
            <w:tcW w:w="34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per share attributable to NCR Voyix common stockholders: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9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per common share from continuing operations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0.08</w:t>
            </w:r>
          </w:p>
        </w:tc>
        <w:tc>
          <w:tcPr>
            <w:tcW w:w="80" w:type="dxa"/>
            <w:vAlign w:val="bottom"/>
          </w:tcPr>
          <w:p>
            <w:pPr>
              <w:spacing w:after="0"/>
              <w:rPr>
                <w:sz w:val="20"/>
                <w:szCs w:val="20"/>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(0.15)</w:t>
            </w:r>
          </w:p>
        </w:tc>
        <w:tc>
          <w:tcPr>
            <w:tcW w:w="10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0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0.01</w:t>
            </w:r>
          </w:p>
        </w:tc>
        <w:tc>
          <w:tcPr>
            <w:tcW w:w="34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(0.36)</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90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7"/>
                <w:szCs w:val="17"/>
                <w:color w:val="auto"/>
              </w:rPr>
              <w:t xml:space="preserve">Diluted </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0.08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(0.15)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0.01</w:t>
            </w:r>
          </w:p>
        </w:tc>
        <w:tc>
          <w:tcPr>
            <w:tcW w:w="34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(0.36)</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per common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9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6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0.15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0.09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(0.34)</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900" w:type="dxa"/>
            <w:vAlign w:val="bottom"/>
          </w:tcPr>
          <w:p>
            <w:pPr>
              <w:ind w:left="220"/>
              <w:spacing w:after="0" w:line="204" w:lineRule="exact"/>
              <w:rPr>
                <w:sz w:val="20"/>
                <w:szCs w:val="20"/>
                <w:color w:val="auto"/>
              </w:rPr>
            </w:pPr>
            <w:r>
              <w:rPr>
                <w:rFonts w:ascii="Times New Roman" w:cs="Times New Roman" w:eastAsia="Times New Roman" w:hAnsi="Times New Roman"/>
                <w:sz w:val="17"/>
                <w:szCs w:val="17"/>
                <w:color w:val="auto"/>
              </w:rPr>
              <w:t xml:space="preserve">Diluted </w:t>
            </w:r>
            <w:r>
              <w:rPr>
                <w:rFonts w:ascii="Times New Roman" w:cs="Times New Roman" w:eastAsia="Times New Roman" w:hAnsi="Times New Roman"/>
                <w:sz w:val="22"/>
                <w:szCs w:val="22"/>
                <w:color w:val="auto"/>
                <w:vertAlign w:val="superscript"/>
              </w:rPr>
              <w:t>(1)</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0.15</w:t>
            </w:r>
          </w:p>
        </w:tc>
        <w:tc>
          <w:tcPr>
            <w:tcW w:w="80" w:type="dxa"/>
            <w:vAlign w:val="bottom"/>
          </w:tcPr>
          <w:p>
            <w:pPr>
              <w:spacing w:after="0"/>
              <w:rPr>
                <w:sz w:val="17"/>
                <w:szCs w:val="17"/>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(0.16)</w:t>
            </w:r>
          </w:p>
        </w:tc>
        <w:tc>
          <w:tcPr>
            <w:tcW w:w="100" w:type="dxa"/>
            <w:vAlign w:val="bottom"/>
          </w:tcPr>
          <w:p>
            <w:pPr>
              <w:spacing w:after="0"/>
              <w:rPr>
                <w:sz w:val="17"/>
                <w:szCs w:val="17"/>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0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0.09</w:t>
            </w:r>
          </w:p>
        </w:tc>
        <w:tc>
          <w:tcPr>
            <w:tcW w:w="34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(0.34)</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common shares outstanding</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240" w:type="dxa"/>
            <w:vAlign w:val="bottom"/>
          </w:tcPr>
          <w:p>
            <w:pPr>
              <w:spacing w:after="0"/>
              <w:rPr>
                <w:sz w:val="20"/>
                <w:szCs w:val="20"/>
                <w:color w:val="auto"/>
              </w:rPr>
            </w:pPr>
          </w:p>
        </w:tc>
        <w:tc>
          <w:tcPr>
            <w:tcW w:w="78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137.9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138.2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138.3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138.6</w:t>
            </w:r>
          </w:p>
        </w:tc>
        <w:tc>
          <w:tcPr>
            <w:tcW w:w="0" w:type="dxa"/>
            <w:vAlign w:val="bottom"/>
          </w:tcPr>
          <w:p>
            <w:pPr>
              <w:spacing w:after="0"/>
              <w:rPr>
                <w:sz w:val="1"/>
                <w:szCs w:val="1"/>
                <w:color w:val="auto"/>
              </w:rPr>
            </w:pPr>
          </w:p>
        </w:tc>
      </w:tr>
      <w:tr>
        <w:trPr>
          <w:trHeight w:val="232"/>
        </w:trPr>
        <w:tc>
          <w:tcPr>
            <w:tcW w:w="6900" w:type="dxa"/>
            <w:vAlign w:val="bottom"/>
            <w:shd w:val="clear" w:color="auto" w:fill="CCEEFF"/>
          </w:tcPr>
          <w:p>
            <w:pPr>
              <w:ind w:left="220"/>
              <w:spacing w:after="0" w:line="232" w:lineRule="exact"/>
              <w:rPr>
                <w:sz w:val="20"/>
                <w:szCs w:val="20"/>
                <w:color w:val="auto"/>
              </w:rPr>
            </w:pPr>
            <w:r>
              <w:rPr>
                <w:rFonts w:ascii="Times New Roman" w:cs="Times New Roman" w:eastAsia="Times New Roman" w:hAnsi="Times New Roman"/>
                <w:sz w:val="17"/>
                <w:szCs w:val="17"/>
                <w:color w:val="auto"/>
              </w:rPr>
              <w:t xml:space="preserve">Diluted </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139.8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138.2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140.0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138.6</w:t>
            </w:r>
          </w:p>
        </w:tc>
        <w:tc>
          <w:tcPr>
            <w:tcW w:w="0" w:type="dxa"/>
            <w:vAlign w:val="bottom"/>
          </w:tcPr>
          <w:p>
            <w:pPr>
              <w:spacing w:after="0"/>
              <w:rPr>
                <w:sz w:val="1"/>
                <w:szCs w:val="1"/>
                <w:color w:val="auto"/>
              </w:rPr>
            </w:pPr>
          </w:p>
        </w:tc>
      </w:tr>
    </w:tbl>
    <w:p>
      <w:pPr>
        <w:spacing w:after="0" w:line="78" w:lineRule="exact"/>
        <w:rPr>
          <w:sz w:val="20"/>
          <w:szCs w:val="20"/>
          <w:color w:val="auto"/>
        </w:rPr>
      </w:pPr>
    </w:p>
    <w:p>
      <w:pPr>
        <w:jc w:val="both"/>
        <w:ind w:firstLine="3"/>
        <w:spacing w:after="0" w:line="239" w:lineRule="auto"/>
        <w:tabs>
          <w:tab w:leader="none" w:pos="160"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Diluted EPS is determined using the most dilutive measure, either including the impact of the dividends and deemed dividends on the Company’s Series A Convertible Preferred Shares in the calculation of net income or loss per common share from continuing operations and net income or loss per common share or including the impact of the conversion of such preferred stock into common stock in the calculation of the weighted average diluted shares outstanding.</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40"/>
          </w:cols>
          <w:pgMar w:left="320" w:top="473"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5"/>
        </w:trPr>
        <w:tc>
          <w:tcPr>
            <w:tcW w:w="3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00" w:type="dxa"/>
            <w:vAlign w:val="bottom"/>
            <w:gridSpan w:val="9"/>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NCR VOYIX CORPORATION</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5400" w:type="dxa"/>
            <w:vAlign w:val="bottom"/>
            <w:gridSpan w:val="14"/>
          </w:tcPr>
          <w:p>
            <w:pPr>
              <w:jc w:val="center"/>
              <w:ind w:left="94"/>
              <w:spacing w:after="0" w:line="173" w:lineRule="exact"/>
              <w:rPr>
                <w:sz w:val="20"/>
                <w:szCs w:val="20"/>
                <w:color w:val="auto"/>
              </w:rPr>
            </w:pPr>
            <w:r>
              <w:rPr>
                <w:rFonts w:ascii="Times New Roman" w:cs="Times New Roman" w:eastAsia="Times New Roman" w:hAnsi="Times New Roman"/>
                <w:sz w:val="17"/>
                <w:szCs w:val="17"/>
                <w:b w:val="1"/>
                <w:bCs w:val="1"/>
                <w:color w:val="auto"/>
              </w:rPr>
              <w:t>REVENUE AND ADJUSTED EBITDA SUMMARY</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vMerge w:val="restart"/>
          </w:tcPr>
          <w:p>
            <w:pPr>
              <w:ind w:left="500"/>
              <w:spacing w:after="0"/>
              <w:rPr>
                <w:sz w:val="20"/>
                <w:szCs w:val="20"/>
                <w:color w:val="auto"/>
              </w:rPr>
            </w:pPr>
            <w:r>
              <w:rPr>
                <w:rFonts w:ascii="Times New Roman" w:cs="Times New Roman" w:eastAsia="Times New Roman" w:hAnsi="Times New Roman"/>
                <w:sz w:val="17"/>
                <w:szCs w:val="17"/>
                <w:b w:val="1"/>
                <w:bCs w:val="1"/>
                <w:color w:val="auto"/>
                <w:w w:val="97"/>
              </w:rPr>
              <w:t>Schedul</w:t>
            </w:r>
          </w:p>
        </w:tc>
        <w:tc>
          <w:tcPr>
            <w:tcW w:w="0" w:type="dxa"/>
            <w:vAlign w:val="bottom"/>
          </w:tcPr>
          <w:p>
            <w:pPr>
              <w:spacing w:after="0"/>
              <w:rPr>
                <w:sz w:val="1"/>
                <w:szCs w:val="1"/>
                <w:color w:val="auto"/>
              </w:rPr>
            </w:pPr>
          </w:p>
        </w:tc>
      </w:tr>
      <w:tr>
        <w:trPr>
          <w:trHeight w:val="137"/>
        </w:trPr>
        <w:tc>
          <w:tcPr>
            <w:tcW w:w="3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3"/>
            <w:vMerge w:val="restart"/>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(Unaudited)</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3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3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3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7"/>
                <w:szCs w:val="17"/>
                <w:b w:val="1"/>
                <w:bCs w:val="1"/>
                <w:color w:val="auto"/>
              </w:rPr>
              <w:t>For the Period Ended September 30</w:t>
            </w: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7"/>
                <w:szCs w:val="17"/>
                <w:b w:val="1"/>
                <w:bCs w:val="1"/>
                <w:color w:val="auto"/>
              </w:rPr>
              <w:t>Nine Months</w:t>
            </w: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200" w:type="dxa"/>
            <w:vAlign w:val="bottom"/>
          </w:tcPr>
          <w:p>
            <w:pPr>
              <w:spacing w:after="0"/>
              <w:rPr>
                <w:sz w:val="19"/>
                <w:szCs w:val="19"/>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15"/>
                <w:szCs w:val="15"/>
                <w:b w:val="1"/>
                <w:bCs w:val="1"/>
                <w:color w:val="auto"/>
              </w:rPr>
              <w:t>2026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ind w:right="218"/>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0" w:type="dxa"/>
            <w:vAlign w:val="bottom"/>
          </w:tcPr>
          <w:p>
            <w:pPr>
              <w:spacing w:after="0"/>
              <w:rPr>
                <w:sz w:val="1"/>
                <w:szCs w:val="1"/>
                <w:color w:val="auto"/>
              </w:rPr>
            </w:pPr>
          </w:p>
        </w:tc>
      </w:tr>
      <w:tr>
        <w:trPr>
          <w:trHeight w:val="212"/>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 by segment</w:t>
            </w:r>
          </w:p>
        </w:tc>
        <w:tc>
          <w:tcPr>
            <w:tcW w:w="1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Retail</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377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center"/>
              <w:ind w:left="236"/>
              <w:spacing w:after="0"/>
              <w:rPr>
                <w:sz w:val="20"/>
                <w:szCs w:val="20"/>
                <w:color w:val="auto"/>
              </w:rPr>
            </w:pPr>
            <w:r>
              <w:rPr>
                <w:rFonts w:ascii="Times New Roman" w:cs="Times New Roman" w:eastAsia="Times New Roman" w:hAnsi="Times New Roman"/>
                <w:sz w:val="17"/>
                <w:szCs w:val="17"/>
                <w:color w:val="auto"/>
              </w:rPr>
              <w:t>467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1,169</w:t>
            </w:r>
          </w:p>
        </w:tc>
        <w:tc>
          <w:tcPr>
            <w:tcW w:w="100" w:type="dxa"/>
            <w:vAlign w:val="bottom"/>
          </w:tcPr>
          <w:p>
            <w:pPr>
              <w:spacing w:after="0"/>
              <w:rPr>
                <w:sz w:val="20"/>
                <w:szCs w:val="20"/>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Restaurants</w:t>
            </w:r>
          </w:p>
        </w:tc>
        <w:tc>
          <w:tcPr>
            <w:tcW w:w="1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162</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center"/>
              <w:ind w:left="236"/>
              <w:spacing w:after="0"/>
              <w:rPr>
                <w:sz w:val="20"/>
                <w:szCs w:val="20"/>
                <w:color w:val="auto"/>
              </w:rPr>
            </w:pPr>
            <w:r>
              <w:rPr>
                <w:rFonts w:ascii="Times New Roman" w:cs="Times New Roman" w:eastAsia="Times New Roman" w:hAnsi="Times New Roman"/>
                <w:sz w:val="17"/>
                <w:szCs w:val="17"/>
                <w:color w:val="auto"/>
              </w:rPr>
              <w:t>210</w:t>
            </w:r>
          </w:p>
        </w:tc>
        <w:tc>
          <w:tcPr>
            <w:tcW w:w="8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499</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segment revenue</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539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center"/>
              <w:ind w:left="236"/>
              <w:spacing w:after="0"/>
              <w:rPr>
                <w:sz w:val="20"/>
                <w:szCs w:val="20"/>
                <w:color w:val="auto"/>
              </w:rPr>
            </w:pPr>
            <w:r>
              <w:rPr>
                <w:rFonts w:ascii="Times New Roman" w:cs="Times New Roman" w:eastAsia="Times New Roman" w:hAnsi="Times New Roman"/>
                <w:sz w:val="17"/>
                <w:szCs w:val="17"/>
                <w:color w:val="auto"/>
              </w:rPr>
              <w:t>677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1,668</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7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 by segment</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Retail</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107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90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b w:val="1"/>
                <w:bCs w:val="1"/>
                <w:color w:val="auto"/>
              </w:rPr>
              <w:t>282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236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320"/>
              <w:spacing w:after="0"/>
              <w:rPr>
                <w:sz w:val="20"/>
                <w:szCs w:val="20"/>
                <w:color w:val="auto"/>
              </w:rPr>
            </w:pPr>
            <w:r>
              <w:rPr>
                <w:rFonts w:ascii="Times New Roman" w:cs="Times New Roman" w:eastAsia="Times New Roman" w:hAnsi="Times New Roman"/>
                <w:sz w:val="15"/>
                <w:szCs w:val="15"/>
                <w:i w:val="1"/>
                <w:iCs w:val="1"/>
                <w:color w:val="auto"/>
              </w:rPr>
              <w:t>Retail Adjusted EBITDA margin %</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36"/>
              <w:spacing w:after="0"/>
              <w:rPr>
                <w:sz w:val="20"/>
                <w:szCs w:val="20"/>
                <w:color w:val="auto"/>
              </w:rPr>
            </w:pPr>
            <w:r>
              <w:rPr>
                <w:rFonts w:ascii="Times New Roman" w:cs="Times New Roman" w:eastAsia="Times New Roman" w:hAnsi="Times New Roman"/>
                <w:sz w:val="15"/>
                <w:szCs w:val="15"/>
                <w:b w:val="1"/>
                <w:bCs w:val="1"/>
                <w:i w:val="1"/>
                <w:iCs w:val="1"/>
                <w:color w:val="auto"/>
              </w:rPr>
              <w:t>28.4%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36"/>
              <w:spacing w:after="0"/>
              <w:rPr>
                <w:sz w:val="20"/>
                <w:szCs w:val="20"/>
                <w:color w:val="auto"/>
              </w:rPr>
            </w:pPr>
            <w:r>
              <w:rPr>
                <w:rFonts w:ascii="Times New Roman" w:cs="Times New Roman" w:eastAsia="Times New Roman" w:hAnsi="Times New Roman"/>
                <w:sz w:val="15"/>
                <w:szCs w:val="15"/>
                <w:i w:val="1"/>
                <w:iCs w:val="1"/>
                <w:color w:val="auto"/>
              </w:rPr>
              <w:t>19.3%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38"/>
              <w:spacing w:after="0"/>
              <w:rPr>
                <w:sz w:val="20"/>
                <w:szCs w:val="20"/>
                <w:color w:val="auto"/>
              </w:rPr>
            </w:pPr>
            <w:r>
              <w:rPr>
                <w:rFonts w:ascii="Times New Roman" w:cs="Times New Roman" w:eastAsia="Times New Roman" w:hAnsi="Times New Roman"/>
                <w:sz w:val="15"/>
                <w:szCs w:val="15"/>
                <w:b w:val="1"/>
                <w:bCs w:val="1"/>
                <w:i w:val="1"/>
                <w:iCs w:val="1"/>
                <w:color w:val="auto"/>
              </w:rPr>
              <w:t>24.1%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ind w:right="38"/>
              <w:spacing w:after="0"/>
              <w:rPr>
                <w:sz w:val="20"/>
                <w:szCs w:val="20"/>
                <w:color w:val="auto"/>
              </w:rPr>
            </w:pPr>
            <w:r>
              <w:rPr>
                <w:rFonts w:ascii="Times New Roman" w:cs="Times New Roman" w:eastAsia="Times New Roman" w:hAnsi="Times New Roman"/>
                <w:sz w:val="15"/>
                <w:szCs w:val="15"/>
                <w:i w:val="1"/>
                <w:iCs w:val="1"/>
                <w:color w:val="auto"/>
              </w:rPr>
              <w:t>17.6%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Restaurants</w:t>
            </w: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73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b w:val="1"/>
                <w:bCs w:val="1"/>
                <w:color w:val="auto"/>
              </w:rPr>
              <w:t>185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320"/>
              <w:spacing w:after="0"/>
              <w:rPr>
                <w:sz w:val="20"/>
                <w:szCs w:val="20"/>
                <w:color w:val="auto"/>
              </w:rPr>
            </w:pPr>
            <w:r>
              <w:rPr>
                <w:rFonts w:ascii="Times New Roman" w:cs="Times New Roman" w:eastAsia="Times New Roman" w:hAnsi="Times New Roman"/>
                <w:sz w:val="15"/>
                <w:szCs w:val="15"/>
                <w:i w:val="1"/>
                <w:iCs w:val="1"/>
                <w:color w:val="auto"/>
              </w:rPr>
              <w:t>Restaurants Adjusted EBITDA margin %</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36"/>
              <w:spacing w:after="0"/>
              <w:rPr>
                <w:sz w:val="20"/>
                <w:szCs w:val="20"/>
                <w:color w:val="auto"/>
              </w:rPr>
            </w:pPr>
            <w:r>
              <w:rPr>
                <w:rFonts w:ascii="Times New Roman" w:cs="Times New Roman" w:eastAsia="Times New Roman" w:hAnsi="Times New Roman"/>
                <w:sz w:val="15"/>
                <w:szCs w:val="15"/>
                <w:b w:val="1"/>
                <w:bCs w:val="1"/>
                <w:i w:val="1"/>
                <w:iCs w:val="1"/>
                <w:color w:val="auto"/>
              </w:rPr>
              <w:t>45.1%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36"/>
              <w:spacing w:after="0"/>
              <w:rPr>
                <w:sz w:val="20"/>
                <w:szCs w:val="20"/>
                <w:color w:val="auto"/>
              </w:rPr>
            </w:pPr>
            <w:r>
              <w:rPr>
                <w:rFonts w:ascii="Times New Roman" w:cs="Times New Roman" w:eastAsia="Times New Roman" w:hAnsi="Times New Roman"/>
                <w:sz w:val="15"/>
                <w:szCs w:val="15"/>
                <w:i w:val="1"/>
                <w:iCs w:val="1"/>
                <w:color w:val="auto"/>
              </w:rPr>
              <w:t>35.2%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38"/>
              <w:spacing w:after="0"/>
              <w:rPr>
                <w:sz w:val="20"/>
                <w:szCs w:val="20"/>
                <w:color w:val="auto"/>
              </w:rPr>
            </w:pPr>
            <w:r>
              <w:rPr>
                <w:rFonts w:ascii="Times New Roman" w:cs="Times New Roman" w:eastAsia="Times New Roman" w:hAnsi="Times New Roman"/>
                <w:sz w:val="15"/>
                <w:szCs w:val="15"/>
                <w:b w:val="1"/>
                <w:bCs w:val="1"/>
                <w:i w:val="1"/>
                <w:iCs w:val="1"/>
                <w:color w:val="auto"/>
              </w:rPr>
              <w:t>37.1%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ind w:right="38"/>
              <w:spacing w:after="0"/>
              <w:rPr>
                <w:sz w:val="20"/>
                <w:szCs w:val="20"/>
                <w:color w:val="auto"/>
              </w:rPr>
            </w:pPr>
            <w:r>
              <w:rPr>
                <w:rFonts w:ascii="Times New Roman" w:cs="Times New Roman" w:eastAsia="Times New Roman" w:hAnsi="Times New Roman"/>
                <w:sz w:val="15"/>
                <w:szCs w:val="15"/>
                <w:i w:val="1"/>
                <w:iCs w:val="1"/>
                <w:color w:val="auto"/>
              </w:rPr>
              <w:t>33.2%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7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120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tcPr>
          <w:p>
            <w:pPr>
              <w:jc w:val="right"/>
              <w:ind w:right="38"/>
              <w:spacing w:after="0"/>
              <w:rPr>
                <w:sz w:val="20"/>
                <w:szCs w:val="20"/>
                <w:color w:val="auto"/>
              </w:rPr>
            </w:pPr>
            <w:r>
              <w:rPr>
                <w:rFonts w:ascii="Times New Roman" w:cs="Times New Roman" w:eastAsia="Times New Roman" w:hAnsi="Times New Roman"/>
                <w:sz w:val="17"/>
                <w:szCs w:val="17"/>
                <w:b w:val="1"/>
                <w:bCs w:val="1"/>
                <w:color w:val="auto"/>
              </w:rPr>
              <w:t>296</w:t>
            </w:r>
          </w:p>
        </w:tc>
        <w:tc>
          <w:tcPr>
            <w:tcW w:w="100" w:type="dxa"/>
            <w:vAlign w:val="bottom"/>
          </w:tcPr>
          <w:p>
            <w:pPr>
              <w:spacing w:after="0"/>
              <w:rPr>
                <w:sz w:val="20"/>
                <w:szCs w:val="20"/>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290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i w:val="1"/>
                <w:iCs w:val="1"/>
                <w:color w:val="auto"/>
              </w:rPr>
              <w:t>Adjusted EBITDA margin %</w:t>
            </w: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5"/>
                <w:szCs w:val="15"/>
                <w:b w:val="1"/>
                <w:bCs w:val="1"/>
                <w:i w:val="1"/>
                <w:iCs w:val="1"/>
                <w:color w:val="auto"/>
              </w:rPr>
              <w:t>22.3%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5"/>
                <w:szCs w:val="15"/>
                <w:i w:val="1"/>
                <w:iCs w:val="1"/>
                <w:color w:val="auto"/>
              </w:rPr>
              <w:t>18.2%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5"/>
                <w:szCs w:val="15"/>
                <w:b w:val="1"/>
                <w:bCs w:val="1"/>
                <w:i w:val="1"/>
                <w:iCs w:val="1"/>
                <w:color w:val="auto"/>
              </w:rPr>
              <w:t>17.7%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5"/>
                <w:szCs w:val="15"/>
                <w:i w:val="1"/>
                <w:iCs w:val="1"/>
                <w:color w:val="auto"/>
              </w:rPr>
              <w:t>14.9%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300"/>
          </w:cols>
          <w:pgMar w:left="320" w:top="769" w:right="27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5"/>
        </w:trPr>
        <w:tc>
          <w:tcPr>
            <w:tcW w:w="7940" w:type="dxa"/>
            <w:vAlign w:val="bottom"/>
          </w:tcPr>
          <w:p>
            <w:pPr>
              <w:jc w:val="center"/>
              <w:ind w:left="3722"/>
              <w:spacing w:after="0"/>
              <w:rPr>
                <w:sz w:val="20"/>
                <w:szCs w:val="20"/>
                <w:color w:val="auto"/>
              </w:rPr>
            </w:pPr>
            <w:r>
              <w:rPr>
                <w:rFonts w:ascii="Times New Roman" w:cs="Times New Roman" w:eastAsia="Times New Roman" w:hAnsi="Times New Roman"/>
                <w:sz w:val="17"/>
                <w:szCs w:val="17"/>
                <w:b w:val="1"/>
                <w:bCs w:val="1"/>
                <w:color w:val="auto"/>
              </w:rPr>
              <w:t>NCR VOYIX CORPORATION</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7940" w:type="dxa"/>
            <w:vAlign w:val="bottom"/>
          </w:tcPr>
          <w:p>
            <w:pPr>
              <w:jc w:val="center"/>
              <w:ind w:left="3722"/>
              <w:spacing w:after="0" w:line="173" w:lineRule="exact"/>
              <w:rPr>
                <w:sz w:val="20"/>
                <w:szCs w:val="20"/>
                <w:color w:val="auto"/>
              </w:rPr>
            </w:pPr>
            <w:r>
              <w:rPr>
                <w:rFonts w:ascii="Times New Roman" w:cs="Times New Roman" w:eastAsia="Times New Roman" w:hAnsi="Times New Roman"/>
                <w:sz w:val="17"/>
                <w:szCs w:val="17"/>
                <w:b w:val="1"/>
                <w:bCs w:val="1"/>
                <w:color w:val="auto"/>
              </w:rPr>
              <w:t>CONSOLIDATED BALANCE SHEETS</w:t>
            </w: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vMerge w:val="restart"/>
          </w:tcPr>
          <w:p>
            <w:pPr>
              <w:jc w:val="right"/>
              <w:ind w:right="203"/>
              <w:spacing w:after="0"/>
              <w:rPr>
                <w:sz w:val="20"/>
                <w:szCs w:val="20"/>
                <w:color w:val="auto"/>
              </w:rPr>
            </w:pPr>
            <w:r>
              <w:rPr>
                <w:rFonts w:ascii="Times New Roman" w:cs="Times New Roman" w:eastAsia="Times New Roman" w:hAnsi="Times New Roman"/>
                <w:sz w:val="17"/>
                <w:szCs w:val="17"/>
                <w:b w:val="1"/>
                <w:bCs w:val="1"/>
                <w:color w:val="auto"/>
              </w:rPr>
              <w:t>Schedule C</w:t>
            </w:r>
          </w:p>
        </w:tc>
        <w:tc>
          <w:tcPr>
            <w:tcW w:w="0" w:type="dxa"/>
            <w:vAlign w:val="bottom"/>
          </w:tcPr>
          <w:p>
            <w:pPr>
              <w:spacing w:after="0"/>
              <w:rPr>
                <w:sz w:val="1"/>
                <w:szCs w:val="1"/>
                <w:color w:val="auto"/>
              </w:rPr>
            </w:pPr>
          </w:p>
        </w:tc>
      </w:tr>
      <w:tr>
        <w:trPr>
          <w:trHeight w:val="137"/>
        </w:trPr>
        <w:tc>
          <w:tcPr>
            <w:tcW w:w="7940" w:type="dxa"/>
            <w:vAlign w:val="bottom"/>
            <w:vMerge w:val="restart"/>
          </w:tcPr>
          <w:p>
            <w:pPr>
              <w:jc w:val="center"/>
              <w:ind w:left="3722"/>
              <w:spacing w:after="0" w:line="175" w:lineRule="exact"/>
              <w:rPr>
                <w:sz w:val="20"/>
                <w:szCs w:val="20"/>
                <w:color w:val="auto"/>
              </w:rPr>
            </w:pPr>
            <w:r>
              <w:rPr>
                <w:rFonts w:ascii="Times New Roman" w:cs="Times New Roman" w:eastAsia="Times New Roman" w:hAnsi="Times New Roman"/>
                <w:sz w:val="17"/>
                <w:szCs w:val="17"/>
                <w:b w:val="1"/>
                <w:bCs w:val="1"/>
                <w:color w:val="auto"/>
              </w:rPr>
              <w:t>(Unaudited)</w:t>
            </w: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794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7940" w:type="dxa"/>
            <w:vAlign w:val="bottom"/>
          </w:tcPr>
          <w:p>
            <w:pPr>
              <w:jc w:val="center"/>
              <w:ind w:left="3702"/>
              <w:spacing w:after="0"/>
              <w:rPr>
                <w:sz w:val="20"/>
                <w:szCs w:val="20"/>
                <w:color w:val="auto"/>
              </w:rPr>
            </w:pPr>
            <w:r>
              <w:rPr>
                <w:rFonts w:ascii="Times New Roman" w:cs="Times New Roman" w:eastAsia="Times New Roman" w:hAnsi="Times New Roman"/>
                <w:sz w:val="17"/>
                <w:szCs w:val="17"/>
                <w:b w:val="1"/>
                <w:bCs w:val="1"/>
                <w:color w:val="auto"/>
              </w:rPr>
              <w:t>(in millions, except per share amounts)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60" w:type="dxa"/>
            <w:vAlign w:val="bottom"/>
          </w:tcPr>
          <w:p>
            <w:pPr>
              <w:spacing w:after="0"/>
              <w:rPr>
                <w:sz w:val="24"/>
                <w:szCs w:val="24"/>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24"/>
                <w:szCs w:val="24"/>
                <w:color w:val="auto"/>
              </w:rPr>
            </w:pPr>
          </w:p>
        </w:tc>
        <w:tc>
          <w:tcPr>
            <w:tcW w:w="140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2"/>
        </w:trPr>
        <w:tc>
          <w:tcPr>
            <w:tcW w:w="7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275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w:t>
            </w:r>
          </w:p>
        </w:tc>
        <w:tc>
          <w:tcPr>
            <w:tcW w:w="0" w:type="dxa"/>
            <w:vAlign w:val="bottom"/>
          </w:tcPr>
          <w:p>
            <w:pPr>
              <w:spacing w:after="0"/>
              <w:rPr>
                <w:sz w:val="1"/>
                <w:szCs w:val="1"/>
                <w:color w:val="auto"/>
              </w:rPr>
            </w:pPr>
          </w:p>
        </w:tc>
      </w:tr>
      <w:tr>
        <w:trPr>
          <w:trHeight w:val="216"/>
        </w:trPr>
        <w:tc>
          <w:tcPr>
            <w:tcW w:w="79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Accounts receivable, net of allowances of $17 and $21 as of September 30, 2026 and December 31, 2025, respectively</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470</w:t>
            </w:r>
          </w:p>
        </w:tc>
        <w:tc>
          <w:tcPr>
            <w:tcW w:w="0" w:type="dxa"/>
            <w:vAlign w:val="bottom"/>
          </w:tcPr>
          <w:p>
            <w:pPr>
              <w:spacing w:after="0"/>
              <w:rPr>
                <w:sz w:val="1"/>
                <w:szCs w:val="1"/>
                <w:color w:val="auto"/>
              </w:rPr>
            </w:pPr>
          </w:p>
        </w:tc>
      </w:tr>
      <w:tr>
        <w:trPr>
          <w:trHeight w:val="222"/>
        </w:trPr>
        <w:tc>
          <w:tcPr>
            <w:tcW w:w="7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Inventories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w:t>
            </w:r>
          </w:p>
        </w:tc>
        <w:tc>
          <w:tcPr>
            <w:tcW w:w="0" w:type="dxa"/>
            <w:vAlign w:val="bottom"/>
          </w:tcPr>
          <w:p>
            <w:pPr>
              <w:spacing w:after="0"/>
              <w:rPr>
                <w:sz w:val="1"/>
                <w:szCs w:val="1"/>
                <w:color w:val="auto"/>
              </w:rPr>
            </w:pPr>
          </w:p>
        </w:tc>
      </w:tr>
      <w:tr>
        <w:trPr>
          <w:trHeight w:val="216"/>
        </w:trPr>
        <w:tc>
          <w:tcPr>
            <w:tcW w:w="79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Restricted cash</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22"/>
        </w:trPr>
        <w:tc>
          <w:tcPr>
            <w:tcW w:w="7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Prepaid and other current assets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263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w:t>
            </w:r>
          </w:p>
        </w:tc>
        <w:tc>
          <w:tcPr>
            <w:tcW w:w="0" w:type="dxa"/>
            <w:vAlign w:val="bottom"/>
          </w:tcPr>
          <w:p>
            <w:pPr>
              <w:spacing w:after="0"/>
              <w:rPr>
                <w:sz w:val="1"/>
                <w:szCs w:val="1"/>
                <w:color w:val="auto"/>
              </w:rPr>
            </w:pPr>
          </w:p>
        </w:tc>
      </w:tr>
      <w:tr>
        <w:trPr>
          <w:trHeight w:val="216"/>
        </w:trPr>
        <w:tc>
          <w:tcPr>
            <w:tcW w:w="79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Current assets of discontinued operations</w:t>
            </w: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15"/>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1,076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1,103</w:t>
            </w:r>
          </w:p>
        </w:tc>
        <w:tc>
          <w:tcPr>
            <w:tcW w:w="0" w:type="dxa"/>
            <w:vAlign w:val="bottom"/>
          </w:tcPr>
          <w:p>
            <w:pPr>
              <w:spacing w:after="0"/>
              <w:rPr>
                <w:sz w:val="1"/>
                <w:szCs w:val="1"/>
                <w:color w:val="auto"/>
              </w:rPr>
            </w:pPr>
          </w:p>
        </w:tc>
      </w:tr>
      <w:tr>
        <w:trPr>
          <w:trHeight w:val="216"/>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162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0" w:type="dxa"/>
            <w:vAlign w:val="bottom"/>
          </w:tcPr>
          <w:p>
            <w:pPr>
              <w:spacing w:after="0"/>
              <w:rPr>
                <w:sz w:val="1"/>
                <w:szCs w:val="1"/>
                <w:color w:val="auto"/>
              </w:rPr>
            </w:pPr>
          </w:p>
        </w:tc>
      </w:tr>
      <w:tr>
        <w:trPr>
          <w:trHeight w:val="22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1,519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1,520</w:t>
            </w:r>
          </w:p>
        </w:tc>
        <w:tc>
          <w:tcPr>
            <w:tcW w:w="0" w:type="dxa"/>
            <w:vAlign w:val="bottom"/>
          </w:tcPr>
          <w:p>
            <w:pPr>
              <w:spacing w:after="0"/>
              <w:rPr>
                <w:sz w:val="1"/>
                <w:szCs w:val="1"/>
                <w:color w:val="auto"/>
              </w:rPr>
            </w:pPr>
          </w:p>
        </w:tc>
      </w:tr>
      <w:tr>
        <w:trPr>
          <w:trHeight w:val="216"/>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Intangibles, net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0" w:type="dxa"/>
            <w:vAlign w:val="bottom"/>
          </w:tcPr>
          <w:p>
            <w:pPr>
              <w:spacing w:after="0"/>
              <w:rPr>
                <w:sz w:val="1"/>
                <w:szCs w:val="1"/>
                <w:color w:val="auto"/>
              </w:rPr>
            </w:pPr>
          </w:p>
        </w:tc>
      </w:tr>
      <w:tr>
        <w:trPr>
          <w:trHeight w:val="22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assets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w:t>
            </w:r>
          </w:p>
        </w:tc>
        <w:tc>
          <w:tcPr>
            <w:tcW w:w="0" w:type="dxa"/>
            <w:vAlign w:val="bottom"/>
          </w:tcPr>
          <w:p>
            <w:pPr>
              <w:spacing w:after="0"/>
              <w:rPr>
                <w:sz w:val="1"/>
                <w:szCs w:val="1"/>
                <w:color w:val="auto"/>
              </w:rPr>
            </w:pPr>
          </w:p>
        </w:tc>
      </w:tr>
      <w:tr>
        <w:trPr>
          <w:trHeight w:val="216"/>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Prepaid pension cost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0" w:type="dxa"/>
            <w:vAlign w:val="bottom"/>
          </w:tcPr>
          <w:p>
            <w:pPr>
              <w:spacing w:after="0"/>
              <w:rPr>
                <w:sz w:val="1"/>
                <w:szCs w:val="1"/>
                <w:color w:val="auto"/>
              </w:rPr>
            </w:pPr>
          </w:p>
        </w:tc>
      </w:tr>
      <w:tr>
        <w:trPr>
          <w:trHeight w:val="22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income taxes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w:t>
            </w:r>
          </w:p>
        </w:tc>
        <w:tc>
          <w:tcPr>
            <w:tcW w:w="0" w:type="dxa"/>
            <w:vAlign w:val="bottom"/>
          </w:tcPr>
          <w:p>
            <w:pPr>
              <w:spacing w:after="0"/>
              <w:rPr>
                <w:sz w:val="1"/>
                <w:szCs w:val="1"/>
                <w:color w:val="auto"/>
              </w:rPr>
            </w:pPr>
          </w:p>
        </w:tc>
      </w:tr>
      <w:tr>
        <w:trPr>
          <w:trHeight w:val="216"/>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527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598</w:t>
            </w:r>
          </w:p>
        </w:tc>
        <w:tc>
          <w:tcPr>
            <w:tcW w:w="0" w:type="dxa"/>
            <w:vAlign w:val="bottom"/>
          </w:tcPr>
          <w:p>
            <w:pPr>
              <w:spacing w:after="0"/>
              <w:rPr>
                <w:sz w:val="1"/>
                <w:szCs w:val="1"/>
                <w:color w:val="auto"/>
              </w:rPr>
            </w:pPr>
          </w:p>
        </w:tc>
      </w:tr>
      <w:tr>
        <w:trPr>
          <w:trHeight w:val="23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3,773</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3,921</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stockholders’ equity (deficit)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9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370</w:t>
            </w:r>
          </w:p>
        </w:tc>
        <w:tc>
          <w:tcPr>
            <w:tcW w:w="16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346</w:t>
            </w:r>
          </w:p>
        </w:tc>
        <w:tc>
          <w:tcPr>
            <w:tcW w:w="0" w:type="dxa"/>
            <w:vAlign w:val="bottom"/>
          </w:tcPr>
          <w:p>
            <w:pPr>
              <w:spacing w:after="0"/>
              <w:rPr>
                <w:sz w:val="1"/>
                <w:szCs w:val="1"/>
                <w:color w:val="auto"/>
              </w:rPr>
            </w:pPr>
          </w:p>
        </w:tc>
      </w:tr>
      <w:tr>
        <w:trPr>
          <w:trHeight w:val="222"/>
        </w:trPr>
        <w:tc>
          <w:tcPr>
            <w:tcW w:w="7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Payroll and benefits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0" w:type="dxa"/>
            <w:vAlign w:val="bottom"/>
          </w:tcPr>
          <w:p>
            <w:pPr>
              <w:spacing w:after="0"/>
              <w:rPr>
                <w:sz w:val="1"/>
                <w:szCs w:val="1"/>
                <w:color w:val="auto"/>
              </w:rPr>
            </w:pPr>
          </w:p>
        </w:tc>
      </w:tr>
      <w:tr>
        <w:trPr>
          <w:trHeight w:val="216"/>
        </w:trPr>
        <w:tc>
          <w:tcPr>
            <w:tcW w:w="79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Contract liabilities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w:t>
            </w:r>
          </w:p>
        </w:tc>
        <w:tc>
          <w:tcPr>
            <w:tcW w:w="0" w:type="dxa"/>
            <w:vAlign w:val="bottom"/>
          </w:tcPr>
          <w:p>
            <w:pPr>
              <w:spacing w:after="0"/>
              <w:rPr>
                <w:sz w:val="1"/>
                <w:szCs w:val="1"/>
                <w:color w:val="auto"/>
              </w:rPr>
            </w:pPr>
          </w:p>
        </w:tc>
      </w:tr>
      <w:tr>
        <w:trPr>
          <w:trHeight w:val="222"/>
        </w:trPr>
        <w:tc>
          <w:tcPr>
            <w:tcW w:w="7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Settlement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16"/>
        </w:trPr>
        <w:tc>
          <w:tcPr>
            <w:tcW w:w="79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307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409</w:t>
            </w:r>
          </w:p>
        </w:tc>
        <w:tc>
          <w:tcPr>
            <w:tcW w:w="0" w:type="dxa"/>
            <w:vAlign w:val="bottom"/>
          </w:tcPr>
          <w:p>
            <w:pPr>
              <w:spacing w:after="0"/>
              <w:rPr>
                <w:sz w:val="1"/>
                <w:szCs w:val="1"/>
                <w:color w:val="auto"/>
              </w:rPr>
            </w:pPr>
          </w:p>
        </w:tc>
      </w:tr>
      <w:tr>
        <w:trPr>
          <w:trHeight w:val="222"/>
        </w:trPr>
        <w:tc>
          <w:tcPr>
            <w:tcW w:w="7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Current liabilities of discontinued operations</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09"/>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972</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1,065</w:t>
            </w:r>
          </w:p>
        </w:tc>
        <w:tc>
          <w:tcPr>
            <w:tcW w:w="0" w:type="dxa"/>
            <w:vAlign w:val="bottom"/>
          </w:tcPr>
          <w:p>
            <w:pPr>
              <w:spacing w:after="0"/>
              <w:rPr>
                <w:sz w:val="1"/>
                <w:szCs w:val="1"/>
                <w:color w:val="auto"/>
              </w:rPr>
            </w:pPr>
          </w:p>
        </w:tc>
      </w:tr>
      <w:tr>
        <w:trPr>
          <w:trHeight w:val="21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Long-term debt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1,100</w:t>
            </w:r>
          </w:p>
        </w:tc>
        <w:tc>
          <w:tcPr>
            <w:tcW w:w="0" w:type="dxa"/>
            <w:vAlign w:val="bottom"/>
          </w:tcPr>
          <w:p>
            <w:pPr>
              <w:spacing w:after="0"/>
              <w:rPr>
                <w:sz w:val="1"/>
                <w:szCs w:val="1"/>
                <w:color w:val="auto"/>
              </w:rPr>
            </w:pPr>
          </w:p>
        </w:tc>
      </w:tr>
      <w:tr>
        <w:trPr>
          <w:trHeight w:val="216"/>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Pension and indemnity plan liabilities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0" w:type="dxa"/>
            <w:vAlign w:val="bottom"/>
          </w:tcPr>
          <w:p>
            <w:pPr>
              <w:spacing w:after="0"/>
              <w:rPr>
                <w:sz w:val="1"/>
                <w:szCs w:val="1"/>
                <w:color w:val="auto"/>
              </w:rPr>
            </w:pPr>
          </w:p>
        </w:tc>
      </w:tr>
      <w:tr>
        <w:trPr>
          <w:trHeight w:val="22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Postretirement and postemployment benefits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0" w:type="dxa"/>
            <w:vAlign w:val="bottom"/>
          </w:tcPr>
          <w:p>
            <w:pPr>
              <w:spacing w:after="0"/>
              <w:rPr>
                <w:sz w:val="1"/>
                <w:szCs w:val="1"/>
                <w:color w:val="auto"/>
              </w:rPr>
            </w:pPr>
          </w:p>
        </w:tc>
      </w:tr>
      <w:tr>
        <w:trPr>
          <w:trHeight w:val="216"/>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tax accruals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0" w:type="dxa"/>
            <w:vAlign w:val="bottom"/>
          </w:tcPr>
          <w:p>
            <w:pPr>
              <w:spacing w:after="0"/>
              <w:rPr>
                <w:sz w:val="1"/>
                <w:szCs w:val="1"/>
                <w:color w:val="auto"/>
              </w:rPr>
            </w:pPr>
          </w:p>
        </w:tc>
      </w:tr>
      <w:tr>
        <w:trPr>
          <w:trHeight w:val="22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w:t>
            </w:r>
          </w:p>
        </w:tc>
        <w:tc>
          <w:tcPr>
            <w:tcW w:w="0" w:type="dxa"/>
            <w:vAlign w:val="bottom"/>
          </w:tcPr>
          <w:p>
            <w:pPr>
              <w:spacing w:after="0"/>
              <w:rPr>
                <w:sz w:val="1"/>
                <w:szCs w:val="1"/>
                <w:color w:val="auto"/>
              </w:rPr>
            </w:pPr>
          </w:p>
        </w:tc>
      </w:tr>
      <w:tr>
        <w:trPr>
          <w:trHeight w:val="216"/>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liabilities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w:t>
            </w:r>
          </w:p>
        </w:tc>
        <w:tc>
          <w:tcPr>
            <w:tcW w:w="0" w:type="dxa"/>
            <w:vAlign w:val="bottom"/>
          </w:tcPr>
          <w:p>
            <w:pPr>
              <w:spacing w:after="0"/>
              <w:rPr>
                <w:sz w:val="1"/>
                <w:szCs w:val="1"/>
                <w:color w:val="auto"/>
              </w:rPr>
            </w:pPr>
          </w:p>
        </w:tc>
      </w:tr>
      <w:tr>
        <w:trPr>
          <w:trHeight w:val="22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Noncurrent liabilities of discontinued operations</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2,614</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2,766</w:t>
            </w:r>
          </w:p>
        </w:tc>
        <w:tc>
          <w:tcPr>
            <w:tcW w:w="0" w:type="dxa"/>
            <w:vAlign w:val="bottom"/>
          </w:tcPr>
          <w:p>
            <w:pPr>
              <w:spacing w:after="0"/>
              <w:rPr>
                <w:sz w:val="1"/>
                <w:szCs w:val="1"/>
                <w:color w:val="auto"/>
              </w:rPr>
            </w:pPr>
          </w:p>
        </w:tc>
      </w:tr>
      <w:tr>
        <w:trPr>
          <w:trHeight w:val="20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Commitments and Contingencies</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7940" w:type="dxa"/>
            <w:vAlign w:val="bottom"/>
          </w:tcPr>
          <w:p>
            <w:pPr>
              <w:ind w:left="20"/>
              <w:spacing w:after="0" w:line="169" w:lineRule="exact"/>
              <w:rPr>
                <w:sz w:val="20"/>
                <w:szCs w:val="20"/>
                <w:color w:val="auto"/>
              </w:rPr>
            </w:pPr>
            <w:r>
              <w:rPr>
                <w:rFonts w:ascii="Times New Roman" w:cs="Times New Roman" w:eastAsia="Times New Roman" w:hAnsi="Times New Roman"/>
                <w:sz w:val="15"/>
                <w:szCs w:val="15"/>
                <w:color w:val="auto"/>
              </w:rPr>
              <w:t>Series A convertible preferred stock: par value $0.01 per share, 3.0 shares authorized, 0.2 shares issued and outstanding as of</w:t>
            </w: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940" w:type="dxa"/>
            <w:vAlign w:val="bottom"/>
          </w:tcPr>
          <w:p>
            <w:pPr>
              <w:ind w:left="20"/>
              <w:spacing w:after="0" w:line="155" w:lineRule="exact"/>
              <w:rPr>
                <w:sz w:val="20"/>
                <w:szCs w:val="20"/>
                <w:color w:val="auto"/>
              </w:rPr>
            </w:pPr>
            <w:r>
              <w:rPr>
                <w:rFonts w:ascii="Times New Roman" w:cs="Times New Roman" w:eastAsia="Times New Roman" w:hAnsi="Times New Roman"/>
                <w:sz w:val="15"/>
                <w:szCs w:val="15"/>
                <w:color w:val="auto"/>
              </w:rPr>
              <w:t>September 30, 2026 and December 31, 2025; redemption amount and liquidation preference of $207 as of September 30, 2026</w:t>
            </w:r>
          </w:p>
        </w:tc>
        <w:tc>
          <w:tcPr>
            <w:tcW w:w="16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207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207</w:t>
            </w:r>
          </w:p>
        </w:tc>
        <w:tc>
          <w:tcPr>
            <w:tcW w:w="0" w:type="dxa"/>
            <w:vAlign w:val="bottom"/>
          </w:tcPr>
          <w:p>
            <w:pPr>
              <w:spacing w:after="0"/>
              <w:rPr>
                <w:sz w:val="1"/>
                <w:szCs w:val="1"/>
                <w:color w:val="auto"/>
              </w:rPr>
            </w:pPr>
          </w:p>
        </w:tc>
      </w:tr>
      <w:tr>
        <w:trPr>
          <w:trHeight w:val="203"/>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and December 31, 2025</w:t>
            </w:r>
          </w:p>
        </w:tc>
        <w:tc>
          <w:tcPr>
            <w:tcW w:w="16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Stockholders’ equity (deficit)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NCR Voyix stockholders’ equity (deficit)</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7940" w:type="dxa"/>
            <w:vAlign w:val="bottom"/>
            <w:shd w:val="clear" w:color="auto" w:fill="CCEEFF"/>
          </w:tcPr>
          <w:p>
            <w:pPr>
              <w:ind w:left="320"/>
              <w:spacing w:after="0" w:line="172" w:lineRule="exact"/>
              <w:rPr>
                <w:sz w:val="20"/>
                <w:szCs w:val="20"/>
                <w:color w:val="auto"/>
              </w:rPr>
            </w:pPr>
            <w:r>
              <w:rPr>
                <w:rFonts w:ascii="Times New Roman" w:cs="Times New Roman" w:eastAsia="Times New Roman" w:hAnsi="Times New Roman"/>
                <w:sz w:val="15"/>
                <w:szCs w:val="15"/>
                <w:color w:val="auto"/>
              </w:rPr>
              <w:t>Preferred stock: par value $0.01 per share, 100.0 shares authorized, no shares issued and outstanding as of September 30,</w:t>
            </w:r>
          </w:p>
        </w:tc>
        <w:tc>
          <w:tcPr>
            <w:tcW w:w="160" w:type="dxa"/>
            <w:vAlign w:val="bottom"/>
            <w:shd w:val="clear" w:color="auto" w:fill="CCEEFF"/>
          </w:tcPr>
          <w:p>
            <w:pPr>
              <w:spacing w:after="0"/>
              <w:rPr>
                <w:sz w:val="14"/>
                <w:szCs w:val="14"/>
                <w:color w:val="auto"/>
              </w:rPr>
            </w:pPr>
          </w:p>
        </w:tc>
        <w:tc>
          <w:tcPr>
            <w:tcW w:w="15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7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2026 and December 31, 2025, respectively</w:t>
            </w:r>
          </w:p>
        </w:tc>
        <w:tc>
          <w:tcPr>
            <w:tcW w:w="160" w:type="dxa"/>
            <w:vAlign w:val="bottom"/>
            <w:shd w:val="clear" w:color="auto" w:fill="CCEEFF"/>
          </w:tcPr>
          <w:p>
            <w:pPr>
              <w:spacing w:after="0"/>
              <w:rPr>
                <w:sz w:val="17"/>
                <w:szCs w:val="17"/>
                <w:color w:val="auto"/>
              </w:rPr>
            </w:pPr>
          </w:p>
        </w:tc>
        <w:tc>
          <w:tcPr>
            <w:tcW w:w="15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7940" w:type="dxa"/>
            <w:vAlign w:val="bottom"/>
          </w:tcPr>
          <w:p>
            <w:pPr>
              <w:ind w:left="320"/>
              <w:spacing w:after="0" w:line="169" w:lineRule="exact"/>
              <w:rPr>
                <w:sz w:val="20"/>
                <w:szCs w:val="20"/>
                <w:color w:val="auto"/>
              </w:rPr>
            </w:pPr>
            <w:r>
              <w:rPr>
                <w:rFonts w:ascii="Times New Roman" w:cs="Times New Roman" w:eastAsia="Times New Roman" w:hAnsi="Times New Roman"/>
                <w:sz w:val="15"/>
                <w:szCs w:val="15"/>
                <w:color w:val="auto"/>
              </w:rPr>
              <w:t>Common stock: par value $0.01 per share, 500.0 shares authorized, 137.0 and 138.1 shares issued and outstanding as of</w:t>
            </w:r>
          </w:p>
        </w:tc>
        <w:tc>
          <w:tcPr>
            <w:tcW w:w="16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3"/>
        </w:trPr>
        <w:tc>
          <w:tcPr>
            <w:tcW w:w="79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September 30, 2026 and December 31, 2025, respectively</w:t>
            </w:r>
          </w:p>
        </w:tc>
        <w:tc>
          <w:tcPr>
            <w:tcW w:w="16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Paid-in capital</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829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827</w:t>
            </w:r>
          </w:p>
        </w:tc>
        <w:tc>
          <w:tcPr>
            <w:tcW w:w="0" w:type="dxa"/>
            <w:vAlign w:val="bottom"/>
          </w:tcPr>
          <w:p>
            <w:pPr>
              <w:spacing w:after="0"/>
              <w:rPr>
                <w:sz w:val="1"/>
                <w:szCs w:val="1"/>
                <w:color w:val="auto"/>
              </w:rPr>
            </w:pPr>
          </w:p>
        </w:tc>
      </w:tr>
      <w:tr>
        <w:trPr>
          <w:trHeight w:val="216"/>
        </w:trPr>
        <w:tc>
          <w:tcPr>
            <w:tcW w:w="79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Retained earnings (deficit)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559</w:t>
            </w:r>
          </w:p>
        </w:tc>
        <w:tc>
          <w:tcPr>
            <w:tcW w:w="0" w:type="dxa"/>
            <w:vAlign w:val="bottom"/>
          </w:tcPr>
          <w:p>
            <w:pPr>
              <w:spacing w:after="0"/>
              <w:rPr>
                <w:sz w:val="1"/>
                <w:szCs w:val="1"/>
                <w:color w:val="auto"/>
              </w:rPr>
            </w:pPr>
          </w:p>
        </w:tc>
      </w:tr>
      <w:tr>
        <w:trPr>
          <w:trHeight w:val="222"/>
        </w:trPr>
        <w:tc>
          <w:tcPr>
            <w:tcW w:w="7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(449)</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(439)</w:t>
            </w:r>
          </w:p>
        </w:tc>
        <w:tc>
          <w:tcPr>
            <w:tcW w:w="0" w:type="dxa"/>
            <w:vAlign w:val="bottom"/>
          </w:tcPr>
          <w:p>
            <w:pPr>
              <w:spacing w:after="0"/>
              <w:rPr>
                <w:sz w:val="1"/>
                <w:szCs w:val="1"/>
                <w:color w:val="auto"/>
              </w:rPr>
            </w:pPr>
          </w:p>
        </w:tc>
      </w:tr>
      <w:tr>
        <w:trPr>
          <w:trHeight w:val="209"/>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NCR Voyix stockholders’ equity (deficit)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952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948</w:t>
            </w:r>
          </w:p>
        </w:tc>
        <w:tc>
          <w:tcPr>
            <w:tcW w:w="0" w:type="dxa"/>
            <w:vAlign w:val="bottom"/>
          </w:tcPr>
          <w:p>
            <w:pPr>
              <w:spacing w:after="0"/>
              <w:rPr>
                <w:sz w:val="1"/>
                <w:szCs w:val="1"/>
                <w:color w:val="auto"/>
              </w:rPr>
            </w:pPr>
          </w:p>
        </w:tc>
      </w:tr>
      <w:tr>
        <w:trPr>
          <w:trHeight w:val="22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Noncontrolling interests in subsidiaries</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 stockholders’ equity (deficit)</w:t>
            </w: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952</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948</w:t>
            </w:r>
          </w:p>
        </w:tc>
        <w:tc>
          <w:tcPr>
            <w:tcW w:w="0" w:type="dxa"/>
            <w:vAlign w:val="bottom"/>
          </w:tcPr>
          <w:p>
            <w:pPr>
              <w:spacing w:after="0"/>
              <w:rPr>
                <w:sz w:val="1"/>
                <w:szCs w:val="1"/>
                <w:color w:val="auto"/>
              </w:rPr>
            </w:pPr>
          </w:p>
        </w:tc>
      </w:tr>
      <w:tr>
        <w:trPr>
          <w:trHeight w:val="23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 and stockholders’ equity (deficit)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3,773</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3,921</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40"/>
          </w:cols>
          <w:pgMar w:left="320" w:top="614"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4"/>
        </w:trPr>
        <w:tc>
          <w:tcPr>
            <w:tcW w:w="7520" w:type="dxa"/>
            <w:vAlign w:val="bottom"/>
          </w:tcPr>
          <w:p>
            <w:pPr>
              <w:jc w:val="center"/>
              <w:ind w:left="3862"/>
              <w:spacing w:after="0"/>
              <w:rPr>
                <w:sz w:val="20"/>
                <w:szCs w:val="20"/>
                <w:color w:val="auto"/>
              </w:rPr>
            </w:pPr>
            <w:r>
              <w:rPr>
                <w:rFonts w:ascii="Times New Roman" w:cs="Times New Roman" w:eastAsia="Times New Roman" w:hAnsi="Times New Roman"/>
                <w:sz w:val="16"/>
                <w:szCs w:val="16"/>
                <w:b w:val="1"/>
                <w:bCs w:val="1"/>
                <w:color w:val="auto"/>
              </w:rPr>
              <w:t>NCR VOYIX CORPORATION</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vMerge w:val="restart"/>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Schedule D</w:t>
            </w:r>
          </w:p>
        </w:tc>
        <w:tc>
          <w:tcPr>
            <w:tcW w:w="0" w:type="dxa"/>
            <w:vAlign w:val="bottom"/>
          </w:tcPr>
          <w:p>
            <w:pPr>
              <w:spacing w:after="0"/>
              <w:rPr>
                <w:sz w:val="1"/>
                <w:szCs w:val="1"/>
                <w:color w:val="auto"/>
              </w:rPr>
            </w:pPr>
          </w:p>
        </w:tc>
      </w:tr>
      <w:tr>
        <w:trPr>
          <w:trHeight w:val="168"/>
        </w:trPr>
        <w:tc>
          <w:tcPr>
            <w:tcW w:w="7900" w:type="dxa"/>
            <w:vAlign w:val="bottom"/>
            <w:gridSpan w:val="2"/>
          </w:tcPr>
          <w:p>
            <w:pPr>
              <w:jc w:val="center"/>
              <w:ind w:left="3482"/>
              <w:spacing w:after="0" w:line="168" w:lineRule="exact"/>
              <w:rPr>
                <w:sz w:val="20"/>
                <w:szCs w:val="20"/>
                <w:color w:val="auto"/>
              </w:rPr>
            </w:pPr>
            <w:r>
              <w:rPr>
                <w:rFonts w:ascii="Times New Roman" w:cs="Times New Roman" w:eastAsia="Times New Roman" w:hAnsi="Times New Roman"/>
                <w:sz w:val="16"/>
                <w:szCs w:val="16"/>
                <w:b w:val="1"/>
                <w:bCs w:val="1"/>
                <w:color w:val="auto"/>
              </w:rPr>
              <w:t>CONSOLIDATED STATEMENTS OF CASH FLOWS</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520" w:type="dxa"/>
            <w:vAlign w:val="bottom"/>
          </w:tcPr>
          <w:p>
            <w:pPr>
              <w:jc w:val="center"/>
              <w:ind w:left="3842"/>
              <w:spacing w:after="0" w:line="155" w:lineRule="exact"/>
              <w:rPr>
                <w:sz w:val="20"/>
                <w:szCs w:val="20"/>
                <w:color w:val="auto"/>
              </w:rPr>
            </w:pPr>
            <w:r>
              <w:rPr>
                <w:rFonts w:ascii="Times New Roman" w:cs="Times New Roman" w:eastAsia="Times New Roman" w:hAnsi="Times New Roman"/>
                <w:sz w:val="16"/>
                <w:szCs w:val="16"/>
                <w:b w:val="1"/>
                <w:bCs w:val="1"/>
                <w:color w:val="auto"/>
              </w:rPr>
              <w:t>(Unaudited)</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7520" w:type="dxa"/>
            <w:vAlign w:val="bottom"/>
          </w:tcPr>
          <w:p>
            <w:pPr>
              <w:jc w:val="center"/>
              <w:ind w:left="384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75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7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40" w:type="dxa"/>
            <w:vAlign w:val="bottom"/>
            <w:gridSpan w:val="4"/>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2"/>
        </w:trPr>
        <w:tc>
          <w:tcPr>
            <w:tcW w:w="7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75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2026</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 (loss)</w:t>
            </w:r>
          </w:p>
        </w:tc>
        <w:tc>
          <w:tcPr>
            <w:tcW w:w="38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21</w:t>
            </w:r>
          </w:p>
        </w:tc>
        <w:tc>
          <w:tcPr>
            <w:tcW w:w="22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0" w:type="dxa"/>
            <w:vAlign w:val="bottom"/>
          </w:tcPr>
          <w:p>
            <w:pPr>
              <w:spacing w:after="0"/>
              <w:rPr>
                <w:sz w:val="1"/>
                <w:szCs w:val="1"/>
                <w:color w:val="auto"/>
              </w:rPr>
            </w:pPr>
          </w:p>
        </w:tc>
      </w:tr>
      <w:tr>
        <w:trPr>
          <w:trHeight w:val="22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income (loss) to net cash provided by (used in) operating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159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w:t>
            </w:r>
          </w:p>
        </w:tc>
        <w:tc>
          <w:tcPr>
            <w:tcW w:w="0" w:type="dxa"/>
            <w:vAlign w:val="bottom"/>
          </w:tcPr>
          <w:p>
            <w:pPr>
              <w:spacing w:after="0"/>
              <w:rPr>
                <w:sz w:val="1"/>
                <w:szCs w:val="1"/>
                <w:color w:val="auto"/>
              </w:rPr>
            </w:pPr>
          </w:p>
        </w:tc>
      </w:tr>
      <w:tr>
        <w:trPr>
          <w:trHeight w:val="222"/>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29</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216"/>
        </w:trPr>
        <w:tc>
          <w:tcPr>
            <w:tcW w:w="75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Deferred income taxes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22"/>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Impairment of other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6"/>
        </w:trPr>
        <w:tc>
          <w:tcPr>
            <w:tcW w:w="75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Loss (gain) on disposal of property, plant and equipment and other assets, net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22"/>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Loss (gain) on divestiture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(32)</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16"/>
        </w:trPr>
        <w:tc>
          <w:tcPr>
            <w:tcW w:w="75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Changes in assets and liabilities: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Receivables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62</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0" w:type="dxa"/>
            <w:vAlign w:val="bottom"/>
          </w:tcPr>
          <w:p>
            <w:pPr>
              <w:spacing w:after="0"/>
              <w:rPr>
                <w:sz w:val="1"/>
                <w:szCs w:val="1"/>
                <w:color w:val="auto"/>
              </w:rPr>
            </w:pPr>
          </w:p>
        </w:tc>
      </w:tr>
      <w:tr>
        <w:trPr>
          <w:trHeight w:val="216"/>
        </w:trPr>
        <w:tc>
          <w:tcPr>
            <w:tcW w:w="75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Inventories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222"/>
        </w:trPr>
        <w:tc>
          <w:tcPr>
            <w:tcW w:w="7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Current payables and accrued expenses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38</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216"/>
        </w:trPr>
        <w:tc>
          <w:tcPr>
            <w:tcW w:w="75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Contract liabilities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222"/>
        </w:trPr>
        <w:tc>
          <w:tcPr>
            <w:tcW w:w="7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Employee benefit plans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(21)</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0" w:type="dxa"/>
            <w:vAlign w:val="bottom"/>
          </w:tcPr>
          <w:p>
            <w:pPr>
              <w:spacing w:after="0"/>
              <w:rPr>
                <w:sz w:val="1"/>
                <w:szCs w:val="1"/>
                <w:color w:val="auto"/>
              </w:rPr>
            </w:pPr>
          </w:p>
        </w:tc>
      </w:tr>
      <w:tr>
        <w:trPr>
          <w:trHeight w:val="216"/>
        </w:trPr>
        <w:tc>
          <w:tcPr>
            <w:tcW w:w="75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5"/>
                <w:szCs w:val="15"/>
                <w:color w:val="auto"/>
              </w:rPr>
              <w:t>Other assets and liabilities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(123)</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(413)</w:t>
            </w:r>
          </w:p>
        </w:tc>
        <w:tc>
          <w:tcPr>
            <w:tcW w:w="0" w:type="dxa"/>
            <w:vAlign w:val="bottom"/>
          </w:tcPr>
          <w:p>
            <w:pPr>
              <w:spacing w:after="0"/>
              <w:rPr>
                <w:sz w:val="1"/>
                <w:szCs w:val="1"/>
                <w:color w:val="auto"/>
              </w:rPr>
            </w:pPr>
          </w:p>
        </w:tc>
      </w:tr>
      <w:tr>
        <w:trPr>
          <w:trHeight w:val="215"/>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cash provided by (used in) operating activities</w:t>
            </w:r>
          </w:p>
        </w:tc>
        <w:tc>
          <w:tcPr>
            <w:tcW w:w="38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76</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w:t>
            </w:r>
          </w:p>
        </w:tc>
        <w:tc>
          <w:tcPr>
            <w:tcW w:w="0" w:type="dxa"/>
            <w:vAlign w:val="bottom"/>
          </w:tcPr>
          <w:p>
            <w:pPr>
              <w:spacing w:after="0"/>
              <w:rPr>
                <w:sz w:val="1"/>
                <w:szCs w:val="1"/>
                <w:color w:val="auto"/>
              </w:rPr>
            </w:pPr>
          </w:p>
        </w:tc>
      </w:tr>
      <w:tr>
        <w:trPr>
          <w:trHeight w:val="196"/>
        </w:trPr>
        <w:tc>
          <w:tcPr>
            <w:tcW w:w="75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Capital expenditures</w:t>
            </w:r>
          </w:p>
        </w:tc>
        <w:tc>
          <w:tcPr>
            <w:tcW w:w="38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(114)</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0" w:type="dxa"/>
            <w:vAlign w:val="bottom"/>
          </w:tcPr>
          <w:p>
            <w:pPr>
              <w:spacing w:after="0"/>
              <w:rPr>
                <w:sz w:val="1"/>
                <w:szCs w:val="1"/>
                <w:color w:val="auto"/>
              </w:rPr>
            </w:pPr>
          </w:p>
        </w:tc>
      </w:tr>
      <w:tr>
        <w:trPr>
          <w:trHeight w:val="216"/>
        </w:trPr>
        <w:tc>
          <w:tcPr>
            <w:tcW w:w="75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Proceeds from divestiture, net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22"/>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Collections on purchased trade receivables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16"/>
        </w:trPr>
        <w:tc>
          <w:tcPr>
            <w:tcW w:w="75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Collections on non-operating receivables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95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2"/>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Sale (purchase) of intangible assets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09"/>
        </w:trPr>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Net cash provided by (used in) investing activities</w:t>
            </w:r>
          </w:p>
        </w:tc>
        <w:tc>
          <w:tcPr>
            <w:tcW w:w="3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17</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0" w:type="dxa"/>
            <w:vAlign w:val="bottom"/>
          </w:tcPr>
          <w:p>
            <w:pPr>
              <w:spacing w:after="0"/>
              <w:rPr>
                <w:sz w:val="1"/>
                <w:szCs w:val="1"/>
                <w:color w:val="auto"/>
              </w:rPr>
            </w:pPr>
          </w:p>
        </w:tc>
      </w:tr>
      <w:tr>
        <w:trPr>
          <w:trHeight w:val="202"/>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Payments on revolving credit facilities</w:t>
            </w:r>
          </w:p>
        </w:tc>
        <w:tc>
          <w:tcPr>
            <w:tcW w:w="38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(177)</w:t>
            </w:r>
          </w:p>
        </w:tc>
        <w:tc>
          <w:tcPr>
            <w:tcW w:w="22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0" w:type="dxa"/>
            <w:vAlign w:val="bottom"/>
          </w:tcPr>
          <w:p>
            <w:pPr>
              <w:spacing w:after="0"/>
              <w:rPr>
                <w:sz w:val="1"/>
                <w:szCs w:val="1"/>
                <w:color w:val="auto"/>
              </w:rPr>
            </w:pPr>
          </w:p>
        </w:tc>
      </w:tr>
      <w:tr>
        <w:trPr>
          <w:trHeight w:val="222"/>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Borrowings on revolving credit facilities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177</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0" w:type="dxa"/>
            <w:vAlign w:val="bottom"/>
          </w:tcPr>
          <w:p>
            <w:pPr>
              <w:spacing w:after="0"/>
              <w:rPr>
                <w:sz w:val="1"/>
                <w:szCs w:val="1"/>
                <w:color w:val="auto"/>
              </w:rPr>
            </w:pPr>
          </w:p>
        </w:tc>
      </w:tr>
      <w:tr>
        <w:trPr>
          <w:trHeight w:val="216"/>
        </w:trPr>
        <w:tc>
          <w:tcPr>
            <w:tcW w:w="75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Cash dividend paid for Series A preferred shares dividends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222"/>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Repurchases of common stock</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(28)</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0" w:type="dxa"/>
            <w:vAlign w:val="bottom"/>
          </w:tcPr>
          <w:p>
            <w:pPr>
              <w:spacing w:after="0"/>
              <w:rPr>
                <w:sz w:val="1"/>
                <w:szCs w:val="1"/>
                <w:color w:val="auto"/>
              </w:rPr>
            </w:pPr>
          </w:p>
        </w:tc>
      </w:tr>
      <w:tr>
        <w:trPr>
          <w:trHeight w:val="216"/>
        </w:trPr>
        <w:tc>
          <w:tcPr>
            <w:tcW w:w="75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Proceeds from employee stock plans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222"/>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Tax withholding payments on behalf of employees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216"/>
        </w:trPr>
        <w:tc>
          <w:tcPr>
            <w:tcW w:w="7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Principal payments for finance lease obligations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(15)</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15"/>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cash provided by (used in) financing activities</w:t>
            </w:r>
          </w:p>
        </w:tc>
        <w:tc>
          <w:tcPr>
            <w:tcW w:w="38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(51)</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0" w:type="dxa"/>
            <w:vAlign w:val="bottom"/>
          </w:tcPr>
          <w:p>
            <w:pPr>
              <w:spacing w:after="0"/>
              <w:rPr>
                <w:sz w:val="1"/>
                <w:szCs w:val="1"/>
                <w:color w:val="auto"/>
              </w:rPr>
            </w:pPr>
          </w:p>
        </w:tc>
      </w:tr>
      <w:tr>
        <w:trPr>
          <w:trHeight w:val="209"/>
        </w:trPr>
        <w:tc>
          <w:tcPr>
            <w:tcW w:w="7520" w:type="dxa"/>
            <w:vAlign w:val="bottom"/>
          </w:tcPr>
          <w:p>
            <w:pPr>
              <w:spacing w:after="0"/>
              <w:rPr>
                <w:sz w:val="20"/>
                <w:szCs w:val="20"/>
                <w:color w:val="auto"/>
              </w:rPr>
            </w:pPr>
            <w:r>
              <w:rPr>
                <w:rFonts w:ascii="Times New Roman" w:cs="Times New Roman" w:eastAsia="Times New Roman" w:hAnsi="Times New Roman"/>
                <w:sz w:val="15"/>
                <w:szCs w:val="15"/>
                <w:color w:val="auto"/>
              </w:rPr>
              <w:t>Effect of exchange rate changes on cash, cash equivalents and restricted cash</w:t>
            </w:r>
          </w:p>
        </w:tc>
        <w:tc>
          <w:tcPr>
            <w:tcW w:w="3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15"/>
        </w:trPr>
        <w:tc>
          <w:tcPr>
            <w:tcW w:w="7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Increase (decrease) in cash, cash equivalents, and restricted cash</w:t>
            </w:r>
          </w:p>
        </w:tc>
        <w:tc>
          <w:tcPr>
            <w:tcW w:w="380" w:type="dxa"/>
            <w:vAlign w:val="bottom"/>
            <w:tcBorders>
              <w:top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42</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(466)</w:t>
            </w:r>
          </w:p>
        </w:tc>
        <w:tc>
          <w:tcPr>
            <w:tcW w:w="0" w:type="dxa"/>
            <w:vAlign w:val="bottom"/>
          </w:tcPr>
          <w:p>
            <w:pPr>
              <w:spacing w:after="0"/>
              <w:rPr>
                <w:sz w:val="1"/>
                <w:szCs w:val="1"/>
                <w:color w:val="auto"/>
              </w:rPr>
            </w:pPr>
          </w:p>
        </w:tc>
      </w:tr>
      <w:tr>
        <w:trPr>
          <w:trHeight w:val="216"/>
        </w:trPr>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Cash, cash equivalents and restricted cash at beginning of period</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243</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758</w:t>
            </w:r>
          </w:p>
        </w:tc>
        <w:tc>
          <w:tcPr>
            <w:tcW w:w="0" w:type="dxa"/>
            <w:vAlign w:val="bottom"/>
          </w:tcPr>
          <w:p>
            <w:pPr>
              <w:spacing w:after="0"/>
              <w:rPr>
                <w:sz w:val="1"/>
                <w:szCs w:val="1"/>
                <w:color w:val="auto"/>
              </w:rPr>
            </w:pPr>
          </w:p>
        </w:tc>
      </w:tr>
      <w:tr>
        <w:trPr>
          <w:trHeight w:val="237"/>
        </w:trPr>
        <w:tc>
          <w:tcPr>
            <w:tcW w:w="7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cash equivalents, and restricted cash at end of period</w:t>
            </w:r>
          </w:p>
        </w:tc>
        <w:tc>
          <w:tcPr>
            <w:tcW w:w="38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285</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292</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940"/>
          </w:cols>
          <w:pgMar w:left="480" w:top="626"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9"/>
          <w:szCs w:val="19"/>
          <w:color w:val="auto"/>
        </w:rPr>
        <w:t>Contact: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Investor Relations: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Sarah Jane Schneider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0000FF"/>
        </w:rPr>
        <w:t>investor.relations@ncrvoyix.com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Media Relations: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0000FF"/>
        </w:rPr>
        <w:t>media.relations@ncrvoyix.com</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7"/>
          <w:szCs w:val="17"/>
          <w:color w:val="auto"/>
        </w:rPr>
        <w:t>14</w:t>
      </w:r>
    </w:p>
    <w:sectPr>
      <w:pgSz w:w="11900" w:h="16838" w:orient="portrait"/>
      <w:cols w:equalWidth="0" w:num="1">
        <w:col w:w="10139"/>
      </w:cols>
      <w:pgMar w:left="320" w:top="7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2026-11-05T05:34:08Z</dcterms:created>
  <dcterms:modified xsi:type="dcterms:W3CDTF">2026-11-05T05:34:08Z</dcterms:modified>
</cp:coreProperties>
</file>