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3,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NCR Voyix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tbl>
      <w:tblPr>
        <w:tblLayout w:type="fixed"/>
        <w:tblInd w:w="1580" w:type="dxa"/>
        <w:tblCellMar>
          <w:top w:w="0" w:type="dxa"/>
          <w:left w:w="0" w:type="dxa"/>
          <w:bottom w:w="0" w:type="dxa"/>
          <w:right w:w="0" w:type="dxa"/>
        </w:tblCellMar>
      </w:tblPr>
      <w:tr>
        <w:trPr>
          <w:trHeight w:val="216"/>
        </w:trPr>
        <w:tc>
          <w:tcPr>
            <w:tcW w:w="4280" w:type="dxa"/>
            <w:vAlign w:val="bottom"/>
          </w:tcPr>
          <w:p>
            <w:pPr>
              <w:jc w:val="center"/>
              <w:ind w:right="1830"/>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334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8"/>
              </w:rPr>
              <w:t>31-0387920</w:t>
            </w:r>
          </w:p>
        </w:tc>
      </w:tr>
      <w:tr>
        <w:trPr>
          <w:trHeight w:val="216"/>
        </w:trPr>
        <w:tc>
          <w:tcPr>
            <w:tcW w:w="4280" w:type="dxa"/>
            <w:vAlign w:val="bottom"/>
          </w:tcPr>
          <w:p>
            <w:pPr>
              <w:jc w:val="center"/>
              <w:ind w:right="18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34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280" w:type="dxa"/>
            <w:vAlign w:val="bottom"/>
          </w:tcPr>
          <w:p>
            <w:pPr>
              <w:jc w:val="center"/>
              <w:ind w:right="183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34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864 Spring Street NW</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Atlanta, GA 30308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NCR Voyix Corporation 2026 Stock Incentive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(Full title of the plan)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Kelli Sterrett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Vice President, General Counsel and 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NCR Voyix Corporation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864 Spring Street NW</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Atlanta, GA 30308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(937) 445-1936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4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Accelerated filer</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4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This Registration Statement on Form S-8 is filed by NCR Voyix Corporation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relating to 10,629,158 shares of its common stock, par value $0.01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issuable under the NCR Voyix Corporation 2026 Stock Incentive Plan.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0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Information required by Part I of Form S-8 to be contained in the Section 10(a) prospectus is omitted from this Registration Statement in accordance with Rule 428 under the Securities Act, and the Note to Part I of Form S-8.</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0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INCORPORATION OF DOCUMENTS BY REFERENCE</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documents of the Registrant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are incorporated in this Registration Statement by reference and made a part hereof:</w:t>
      </w:r>
    </w:p>
    <w:p>
      <w:pPr>
        <w:spacing w:after="0" w:line="162" w:lineRule="exact"/>
        <w:rPr>
          <w:sz w:val="20"/>
          <w:szCs w:val="20"/>
          <w:color w:val="auto"/>
        </w:rPr>
      </w:pPr>
    </w:p>
    <w:p>
      <w:pPr>
        <w:ind w:right="200" w:firstLine="8"/>
        <w:spacing w:after="0" w:line="266" w:lineRule="auto"/>
        <w:tabs>
          <w:tab w:leader="none" w:pos="24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1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December 31, 2025, as filed with the Commission on February 26, 2026, including portions of the Registrant’s Proxy Statement on </w:t>
      </w:r>
      <w:hyperlink r:id="rId19">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to the extent incorporated by reference into such Annual Report on Form 10-K, as filed with the Commission on April 21, 2026;</w:t>
      </w:r>
    </w:p>
    <w:p>
      <w:pPr>
        <w:spacing w:after="0" w:line="17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 on </w:t>
      </w:r>
      <w:hyperlink r:id="rId20">
        <w:r>
          <w:rPr>
            <w:rFonts w:ascii="Times New Roman" w:cs="Times New Roman" w:eastAsia="Times New Roman" w:hAnsi="Times New Roman"/>
            <w:sz w:val="18"/>
            <w:szCs w:val="18"/>
            <w:u w:val="single" w:color="auto"/>
            <w:color w:val="0000EE"/>
          </w:rPr>
          <w:t>Form 10-Q</w:t>
        </w:r>
      </w:hyperlink>
      <w:r>
        <w:rPr>
          <w:rFonts w:ascii="Times New Roman" w:cs="Times New Roman" w:eastAsia="Times New Roman" w:hAnsi="Times New Roman"/>
          <w:sz w:val="18"/>
          <w:szCs w:val="18"/>
          <w:color w:val="auto"/>
        </w:rPr>
        <w:t>, as filed with the Commission on May 7, 2026; and</w:t>
      </w:r>
    </w:p>
    <w:p>
      <w:pPr>
        <w:spacing w:after="0" w:line="225" w:lineRule="exact"/>
        <w:rPr>
          <w:rFonts w:ascii="Times New Roman" w:cs="Times New Roman" w:eastAsia="Times New Roman" w:hAnsi="Times New Roman"/>
          <w:sz w:val="18"/>
          <w:szCs w:val="18"/>
          <w:color w:val="auto"/>
        </w:rPr>
      </w:pPr>
    </w:p>
    <w:p>
      <w:pPr>
        <w:ind w:right="220" w:firstLine="8"/>
        <w:spacing w:after="0" w:line="282" w:lineRule="auto"/>
        <w:tabs>
          <w:tab w:leader="none" w:pos="24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w:t>
      </w:r>
      <w:hyperlink r:id="rId21">
        <w:r>
          <w:rPr>
            <w:rFonts w:ascii="Times New Roman" w:cs="Times New Roman" w:eastAsia="Times New Roman" w:hAnsi="Times New Roman"/>
            <w:sz w:val="18"/>
            <w:szCs w:val="18"/>
            <w:u w:val="single" w:color="auto"/>
            <w:color w:val="0000EE"/>
          </w:rPr>
          <w:t>Exhibit 4.7</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Registrant’s Annual Report on </w:t>
      </w:r>
      <w:hyperlink r:id="rId22">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2021, as filed with the Commission on February 25, 2022.</w:t>
      </w:r>
    </w:p>
    <w:p>
      <w:pPr>
        <w:spacing w:after="0" w:line="16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In addition, all documents filed by the Registrant pursuant to Sections 13(a), 13(c), 14 or 15(d) of the Securities Exchange Act of 1934, as amended (the</w:t>
      </w:r>
    </w:p>
    <w:p>
      <w:pPr>
        <w:spacing w:after="0" w:line="27" w:lineRule="exact"/>
        <w:rPr>
          <w:rFonts w:ascii="Times New Roman" w:cs="Times New Roman" w:eastAsia="Times New Roman" w:hAnsi="Times New Roman"/>
          <w:sz w:val="18"/>
          <w:szCs w:val="18"/>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after the date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(such documents, and the documents listed above, being hereinafter referred to as “</w:t>
      </w:r>
      <w:r>
        <w:rPr>
          <w:rFonts w:ascii="Times New Roman" w:cs="Times New Roman" w:eastAsia="Times New Roman" w:hAnsi="Times New Roman"/>
          <w:sz w:val="18"/>
          <w:szCs w:val="18"/>
          <w:u w:val="single" w:color="auto"/>
          <w:color w:val="auto"/>
        </w:rPr>
        <w:t>Incorporated Documents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documents listed above or subsequently filed by the Registrant pursuant to Sections 13(a), 13(c), 14 and 15(d) of the Exchange Act in each year during which the offering made by this Registration Statement is in effect prior to the filing with the Commission of the Registrant’s Annual Report on Form 10-K covering such year shall cease to be Incorporated Documents or to be incorporated by reference in this Registration Statement from and after the filing of such Annual Reports.</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 w:name="page3"/>
    <w:bookmarkEnd w:id="2"/>
    <w:p>
      <w:pPr>
        <w:ind w:right="80"/>
        <w:spacing w:after="0" w:line="258" w:lineRule="auto"/>
        <w:rPr>
          <w:sz w:val="20"/>
          <w:szCs w:val="20"/>
          <w:color w:val="auto"/>
        </w:rPr>
      </w:pPr>
      <w:r>
        <w:rPr>
          <w:rFonts w:ascii="Times New Roman" w:cs="Times New Roman" w:eastAsia="Times New Roman" w:hAnsi="Times New Roman"/>
          <w:sz w:val="18"/>
          <w:szCs w:val="18"/>
          <w:color w:val="auto"/>
        </w:rPr>
        <w:t>Any statement contained herein shall be deemed to be modified or superseded for purposes of this Registration Statement to the extent that a statement contained in any subsequently filed Incorporated Document modifies or supersedes such statement. Any statement contained in an Incorporated Document shall be deemed to be modified or superseded for purposes of this Registration Statement to the extent that a statement contained herein or in any other subsequently filed Incorporated Document modifies or supersedes such statement. Any such statement so modified or superseded shall not be deemed, except as so modified or superseded, to constitute a part of this Registration Statement.</w:t>
      </w:r>
    </w:p>
    <w:p>
      <w:pPr>
        <w:spacing w:after="0" w:line="17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DESCRIPTION OF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INTERESTS OF NAMED EXPERTS AND COUNSEL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charter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and bylaws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provide for indemnification of directors and officers to the fullest extent permitted by Maryland law.</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Maryland General Corporation Law (the “</w:t>
      </w:r>
      <w:r>
        <w:rPr>
          <w:rFonts w:ascii="Times New Roman" w:cs="Times New Roman" w:eastAsia="Times New Roman" w:hAnsi="Times New Roman"/>
          <w:sz w:val="18"/>
          <w:szCs w:val="18"/>
          <w:u w:val="single" w:color="auto"/>
          <w:color w:val="auto"/>
        </w:rPr>
        <w:t>MGCL</w:t>
      </w:r>
      <w:r>
        <w:rPr>
          <w:rFonts w:ascii="Times New Roman" w:cs="Times New Roman" w:eastAsia="Times New Roman" w:hAnsi="Times New Roman"/>
          <w:sz w:val="18"/>
          <w:szCs w:val="18"/>
          <w:color w:val="auto"/>
        </w:rPr>
        <w:t>”)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if established by a final judgment as being material to the cause of action, active and deliberate dishonesty. The Charter contains such a provision, which eliminates such liability to the maximum extent permitted by the MGCL.</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Charter and Bylaws obligate us, to the maximum extent permitted by Maryland law, to indemnify and to pay or reimburse reasonable expenses in advance of a final disposition of a proceeding to (a) the Registrant’s present or former directors and officers and (b) any individual who, while serving as a director or officer of the Registrant, serves any other entity at our request.</w:t>
      </w:r>
    </w:p>
    <w:p>
      <w:pPr>
        <w:spacing w:after="0" w:line="17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MGCL requires a corporation (unless its charter provides otherwise, which our Charter does not) to indemnify a director or officer who has been successful, on the merits or otherwise, in the defense of any proceeding to which he or she is made a party by reason of his or her service in that capacity. The MGCL permits a corporation to indemnify its present and former directors and officers, among others, against judgments, penalties, fines, settlements and reasonable expenses actually incurred by them in connection with any proceeding to or in which they may be made a party or witness by reason of their service in those or other capacities unless it is established that (a) the act or omission of the director or officer was material to the matter giving rise to the proceeding and (i) was committed in bad faith or (ii)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the MGCL, a Maryland corporation may not indemnify for an adverse judgment in a suit by or in the right of the corporation or for a judgment of liability on the basis that personal benefit was improperly received, unless in either case a court orders indemnification and then only for expenses. In addition, the MGCL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shall ultimately be determined that the standard of conduct was not met. In addition, our directors and officers are covered by certain insurance policies maintained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ind w:right="22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is permitted to our directors and officers pursuant to the above-described provisions, we understand that the Commission is of the opinion that such indemnification contravenes federal public policy as expressed in said act and therefore is unenforceable.</w:t>
      </w:r>
    </w:p>
    <w:p>
      <w:pPr>
        <w:spacing w:after="0" w:line="17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EXEMPTION FROM REGISTRATION CLAIMED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580" w:hanging="566"/>
        <w:spacing w:after="0" w:line="282" w:lineRule="auto"/>
        <w:tabs>
          <w:tab w:leader="none" w:pos="5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25">
        <w:r>
          <w:rPr>
            <w:rFonts w:ascii="Times New Roman" w:cs="Times New Roman" w:eastAsia="Times New Roman" w:hAnsi="Times New Roman"/>
            <w:sz w:val="18"/>
            <w:szCs w:val="18"/>
            <w:u w:val="single" w:color="auto"/>
            <w:color w:val="0000EE"/>
          </w:rPr>
          <w:t>Articles of Amendment to the Articles of Incorporation of NCR Voyix Corporation, dated as of October 16, 2023 (Exhibit 3.1 to the Current Report</w:t>
        </w:r>
      </w:hyperlink>
      <w:r>
        <w:rPr>
          <w:rFonts w:ascii="Times New Roman" w:cs="Times New Roman" w:eastAsia="Times New Roman" w:hAnsi="Times New Roman"/>
          <w:sz w:val="18"/>
          <w:szCs w:val="18"/>
          <w:u w:val="single" w:color="auto"/>
          <w:color w:val="0000EE"/>
        </w:rPr>
        <w:t xml:space="preserve"> </w:t>
      </w:r>
      <w:hyperlink r:id="rId25">
        <w:r>
          <w:rPr>
            <w:rFonts w:ascii="Times New Roman" w:cs="Times New Roman" w:eastAsia="Times New Roman" w:hAnsi="Times New Roman"/>
            <w:sz w:val="18"/>
            <w:szCs w:val="18"/>
            <w:u w:val="single" w:color="auto"/>
            <w:color w:val="0000EE"/>
          </w:rPr>
          <w:t>on Form 8-K of NCR Voyix Corporation dated October 17,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ind w:left="580" w:right="160" w:hanging="566"/>
        <w:spacing w:after="0" w:line="282" w:lineRule="auto"/>
        <w:tabs>
          <w:tab w:leader="none" w:pos="5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27">
        <w:r>
          <w:rPr>
            <w:rFonts w:ascii="Times New Roman" w:cs="Times New Roman" w:eastAsia="Times New Roman" w:hAnsi="Times New Roman"/>
            <w:sz w:val="18"/>
            <w:szCs w:val="18"/>
            <w:u w:val="single" w:color="auto"/>
            <w:color w:val="0000EE"/>
          </w:rPr>
          <w:t>Articles of Amendment and Restatement of NCR Corporation, dated as of June 19, 2019 (Exhibit 3.2 to the Current Report on Form 8-K of NCR</w:t>
        </w:r>
      </w:hyperlink>
      <w:r>
        <w:rPr>
          <w:rFonts w:ascii="Times New Roman" w:cs="Times New Roman" w:eastAsia="Times New Roman" w:hAnsi="Times New Roman"/>
          <w:sz w:val="18"/>
          <w:szCs w:val="18"/>
          <w:u w:val="single" w:color="auto"/>
          <w:color w:val="0000EE"/>
        </w:rPr>
        <w:t xml:space="preserve"> </w:t>
      </w:r>
      <w:hyperlink r:id="rId27">
        <w:r>
          <w:rPr>
            <w:rFonts w:ascii="Times New Roman" w:cs="Times New Roman" w:eastAsia="Times New Roman" w:hAnsi="Times New Roman"/>
            <w:sz w:val="18"/>
            <w:szCs w:val="18"/>
            <w:u w:val="single" w:color="auto"/>
            <w:color w:val="0000EE"/>
          </w:rPr>
          <w:t>Voyix Corporation dated October 17,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ind w:left="580" w:right="60" w:hanging="566"/>
        <w:spacing w:after="0" w:line="282" w:lineRule="auto"/>
        <w:tabs>
          <w:tab w:leader="none" w:pos="5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w:t>
      </w:r>
      <w:r>
        <w:rPr>
          <w:sz w:val="20"/>
          <w:szCs w:val="20"/>
          <w:color w:val="auto"/>
        </w:rPr>
        <w:tab/>
      </w:r>
      <w:hyperlink r:id="rId29">
        <w:r>
          <w:rPr>
            <w:rFonts w:ascii="Times New Roman" w:cs="Times New Roman" w:eastAsia="Times New Roman" w:hAnsi="Times New Roman"/>
            <w:sz w:val="18"/>
            <w:szCs w:val="18"/>
            <w:u w:val="single" w:color="auto"/>
            <w:color w:val="0000EE"/>
          </w:rPr>
          <w:t>Amended and Restated By-laws of NCR Voyix Corporation, dated as of October 16, 2023 (Exhibit 3.3 to the Current Report on Form 8-K of NCR</w:t>
        </w:r>
      </w:hyperlink>
      <w:r>
        <w:rPr>
          <w:rFonts w:ascii="Times New Roman" w:cs="Times New Roman" w:eastAsia="Times New Roman" w:hAnsi="Times New Roman"/>
          <w:sz w:val="18"/>
          <w:szCs w:val="18"/>
          <w:u w:val="single" w:color="auto"/>
          <w:color w:val="0000EE"/>
        </w:rPr>
        <w:t xml:space="preserve"> </w:t>
      </w:r>
      <w:hyperlink r:id="rId29">
        <w:r>
          <w:rPr>
            <w:rFonts w:ascii="Times New Roman" w:cs="Times New Roman" w:eastAsia="Times New Roman" w:hAnsi="Times New Roman"/>
            <w:sz w:val="18"/>
            <w:szCs w:val="18"/>
            <w:u w:val="single" w:color="auto"/>
            <w:color w:val="0000EE"/>
          </w:rPr>
          <w:t>Voyix Corporation dated October 17,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0000EE"/>
        </w:rPr>
        <w:t>Opinion of Venable LLP.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PricewaterhouseCoopers LLP.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EE"/>
        </w:rPr>
        <w:t>Consent of Venable LLP (contained in Exhibit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u w:val="single" w:color="auto"/>
          <w:color w:val="0000EE"/>
        </w:rPr>
        <w:t>Power of Attorney (contained on the signature page hereto).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580" w:right="240" w:hanging="566"/>
        <w:spacing w:after="0" w:line="282" w:lineRule="auto"/>
        <w:tabs>
          <w:tab w:leader="none" w:pos="5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r:id="rId35">
        <w:r>
          <w:rPr>
            <w:rFonts w:ascii="Times New Roman" w:cs="Times New Roman" w:eastAsia="Times New Roman" w:hAnsi="Times New Roman"/>
            <w:sz w:val="18"/>
            <w:szCs w:val="18"/>
            <w:u w:val="single" w:color="auto"/>
            <w:color w:val="0000EE"/>
          </w:rPr>
          <w:t>NCR Voyix Corporation 2026 Stock Incentive Plan (Appendix A to the NCR Voyix Corporation Proxy Statement on Schedule 14A for the NCR</w:t>
        </w:r>
      </w:hyperlink>
      <w:r>
        <w:rPr>
          <w:rFonts w:ascii="Times New Roman" w:cs="Times New Roman" w:eastAsia="Times New Roman" w:hAnsi="Times New Roman"/>
          <w:sz w:val="18"/>
          <w:szCs w:val="18"/>
          <w:u w:val="single" w:color="auto"/>
          <w:color w:val="0000EE"/>
        </w:rPr>
        <w:t xml:space="preserve"> </w:t>
      </w:r>
      <w:hyperlink r:id="rId35">
        <w:r>
          <w:rPr>
            <w:rFonts w:ascii="Times New Roman" w:cs="Times New Roman" w:eastAsia="Times New Roman" w:hAnsi="Times New Roman"/>
            <w:sz w:val="18"/>
            <w:szCs w:val="18"/>
            <w:u w:val="single" w:color="auto"/>
            <w:color w:val="0000EE"/>
          </w:rPr>
          <w:t>Corporation 2026 Annual Meeting of Stockholders).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ind w:left="580" w:hanging="572"/>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820" w:hanging="812"/>
        <w:spacing w:after="0"/>
        <w:tabs>
          <w:tab w:leader="none" w:pos="8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Filed herewith</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229" w:lineRule="exact"/>
        <w:rPr>
          <w:sz w:val="20"/>
          <w:szCs w:val="20"/>
          <w:color w:val="auto"/>
        </w:rPr>
      </w:pPr>
    </w:p>
    <w:p>
      <w:pPr>
        <w:ind w:left="820" w:hanging="488"/>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ind w:left="1800" w:right="20" w:hanging="496"/>
        <w:spacing w:after="0" w:line="255"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88" w:lineRule="exact"/>
        <w:rPr>
          <w:rFonts w:ascii="Times New Roman" w:cs="Times New Roman" w:eastAsia="Times New Roman" w:hAnsi="Times New Roman"/>
          <w:sz w:val="18"/>
          <w:szCs w:val="18"/>
          <w:color w:val="auto"/>
        </w:rPr>
      </w:pPr>
    </w:p>
    <w:p>
      <w:pPr>
        <w:ind w:left="1800" w:right="60" w:hanging="496"/>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60"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of this section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reports filed with or furnished to the Commission by the Registrant pursuant to section 13 or section 15(d) of the Exchange Act that are incorporated by reference in this Registration Statement;</w:t>
      </w:r>
    </w:p>
    <w:p>
      <w:pPr>
        <w:spacing w:after="0" w:line="175" w:lineRule="exact"/>
        <w:rPr>
          <w:sz w:val="20"/>
          <w:szCs w:val="20"/>
          <w:color w:val="auto"/>
        </w:rPr>
      </w:pPr>
    </w:p>
    <w:p>
      <w:pPr>
        <w:jc w:val="both"/>
        <w:ind w:left="1300" w:right="160" w:hanging="482"/>
        <w:spacing w:after="0" w:line="266"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175" w:lineRule="exact"/>
        <w:rPr>
          <w:rFonts w:ascii="Times New Roman" w:cs="Times New Roman" w:eastAsia="Times New Roman" w:hAnsi="Times New Roman"/>
          <w:sz w:val="18"/>
          <w:szCs w:val="18"/>
          <w:color w:val="auto"/>
        </w:rPr>
      </w:pPr>
    </w:p>
    <w:p>
      <w:pPr>
        <w:ind w:left="1300" w:right="240" w:hanging="482"/>
        <w:spacing w:after="0" w:line="282"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820" w:right="40" w:hanging="488"/>
        <w:spacing w:after="0" w:line="261"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79" w:lineRule="exact"/>
        <w:rPr>
          <w:rFonts w:ascii="Times New Roman" w:cs="Times New Roman" w:eastAsia="Times New Roman" w:hAnsi="Times New Roman"/>
          <w:sz w:val="18"/>
          <w:szCs w:val="18"/>
          <w:color w:val="auto"/>
        </w:rPr>
      </w:pPr>
    </w:p>
    <w:p>
      <w:pPr>
        <w:ind w:left="820" w:hanging="488"/>
        <w:spacing w:after="0" w:line="254"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Atlanta, State of Georgia.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20" w:type="dxa"/>
            <w:vAlign w:val="bottom"/>
          </w:tcPr>
          <w:p>
            <w:pPr>
              <w:spacing w:after="0"/>
              <w:rPr>
                <w:sz w:val="20"/>
                <w:szCs w:val="20"/>
                <w:color w:val="auto"/>
              </w:rPr>
            </w:pPr>
          </w:p>
        </w:tc>
        <w:tc>
          <w:tcPr>
            <w:tcW w:w="882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NCR VOYIX CORPORATION</w:t>
            </w:r>
          </w:p>
        </w:tc>
      </w:tr>
      <w:tr>
        <w:trPr>
          <w:trHeight w:val="439"/>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Dated: June 3, 2026</w:t>
            </w:r>
          </w:p>
        </w:tc>
        <w:tc>
          <w:tcPr>
            <w:tcW w:w="15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By:</w:t>
            </w:r>
          </w:p>
        </w:tc>
        <w:tc>
          <w:tcPr>
            <w:tcW w:w="7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Kelli E. Sterrett</w:t>
            </w:r>
          </w:p>
        </w:tc>
      </w:tr>
      <w:tr>
        <w:trPr>
          <w:trHeight w:val="198"/>
        </w:trPr>
        <w:tc>
          <w:tcPr>
            <w:tcW w:w="2420" w:type="dxa"/>
            <w:vAlign w:val="bottom"/>
          </w:tcPr>
          <w:p>
            <w:pPr>
              <w:spacing w:after="0"/>
              <w:rPr>
                <w:sz w:val="17"/>
                <w:szCs w:val="17"/>
                <w:color w:val="auto"/>
              </w:rPr>
            </w:pPr>
          </w:p>
        </w:tc>
        <w:tc>
          <w:tcPr>
            <w:tcW w:w="1520" w:type="dxa"/>
            <w:vAlign w:val="bottom"/>
          </w:tcPr>
          <w:p>
            <w:pPr>
              <w:ind w:left="9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73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Kelli E. Sterrett</w:t>
            </w:r>
          </w:p>
        </w:tc>
      </w:tr>
      <w:tr>
        <w:trPr>
          <w:trHeight w:val="234"/>
        </w:trPr>
        <w:tc>
          <w:tcPr>
            <w:tcW w:w="2420" w:type="dxa"/>
            <w:vAlign w:val="bottom"/>
          </w:tcPr>
          <w:p>
            <w:pPr>
              <w:spacing w:after="0"/>
              <w:rPr>
                <w:sz w:val="20"/>
                <w:szCs w:val="20"/>
                <w:color w:val="auto"/>
              </w:rPr>
            </w:pPr>
          </w:p>
        </w:tc>
        <w:tc>
          <w:tcPr>
            <w:tcW w:w="15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Title:</w:t>
            </w: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398"/>
        </w:trPr>
        <w:tc>
          <w:tcPr>
            <w:tcW w:w="24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7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Kelli E. Sterrett as his or her true and lawful attorney-in-fact and agent, acting alone with full power of substitution and resubstitution, for him or her and in his or her name, place and stead, in any and all capacities, to sign any or all amendments (including post-effective amendments) and exhibits to the Registration Statement on Form S-8, and to file the same, with all exhibits thereto, and all documents in connection therewith, with the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w:t>
            </w:r>
          </w:p>
        </w:tc>
        <w:tc>
          <w:tcPr>
            <w:tcW w:w="120" w:type="dxa"/>
            <w:vAlign w:val="bottom"/>
          </w:tcPr>
          <w:p>
            <w:pPr>
              <w:spacing w:after="0"/>
              <w:rPr>
                <w:sz w:val="20"/>
                <w:szCs w:val="20"/>
                <w:color w:val="auto"/>
              </w:rPr>
            </w:pPr>
          </w:p>
        </w:tc>
        <w:tc>
          <w:tcPr>
            <w:tcW w:w="6960" w:type="dxa"/>
            <w:vAlign w:val="bottom"/>
            <w:tcBorders>
              <w:bottom w:val="single" w:sz="8" w:color="auto"/>
            </w:tcBorders>
          </w:tcPr>
          <w:p>
            <w:pPr>
              <w:ind w:left="3320"/>
              <w:spacing w:after="0"/>
              <w:rPr>
                <w:sz w:val="20"/>
                <w:szCs w:val="20"/>
                <w:color w:val="auto"/>
              </w:rPr>
            </w:pPr>
            <w:r>
              <w:rPr>
                <w:rFonts w:ascii="Times New Roman" w:cs="Times New Roman" w:eastAsia="Times New Roman" w:hAnsi="Times New Roman"/>
                <w:sz w:val="18"/>
                <w:szCs w:val="18"/>
                <w:color w:val="auto"/>
              </w:rPr>
              <w:t>Title</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r>
      <w:tr>
        <w:trPr>
          <w:trHeight w:val="453"/>
        </w:trPr>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G. Kelly</w:t>
            </w:r>
          </w:p>
        </w:tc>
        <w:tc>
          <w:tcPr>
            <w:tcW w:w="7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June 3, 2026</w:t>
            </w:r>
          </w:p>
        </w:tc>
      </w:tr>
      <w:tr>
        <w:trPr>
          <w:trHeight w:val="238"/>
        </w:trPr>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James G. Kelly</w:t>
            </w:r>
          </w:p>
        </w:tc>
        <w:tc>
          <w:tcPr>
            <w:tcW w:w="7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460" w:type="dxa"/>
            <w:vAlign w:val="bottom"/>
          </w:tcPr>
          <w:p>
            <w:pPr>
              <w:spacing w:after="0"/>
              <w:rPr>
                <w:sz w:val="20"/>
                <w:szCs w:val="20"/>
                <w:color w:val="auto"/>
              </w:rPr>
            </w:pPr>
          </w:p>
        </w:tc>
      </w:tr>
      <w:tr>
        <w:trPr>
          <w:trHeight w:val="430"/>
        </w:trPr>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Brian Webb-Walsh</w:t>
            </w:r>
          </w:p>
        </w:tc>
        <w:tc>
          <w:tcPr>
            <w:tcW w:w="7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June 3, 2026</w:t>
            </w:r>
          </w:p>
        </w:tc>
      </w:tr>
      <w:tr>
        <w:trPr>
          <w:trHeight w:val="238"/>
        </w:trPr>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Brian Webb-Walsh</w:t>
            </w:r>
          </w:p>
        </w:tc>
        <w:tc>
          <w:tcPr>
            <w:tcW w:w="7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460" w:type="dxa"/>
            <w:vAlign w:val="bottom"/>
          </w:tcPr>
          <w:p>
            <w:pPr>
              <w:spacing w:after="0"/>
              <w:rPr>
                <w:sz w:val="20"/>
                <w:szCs w:val="20"/>
                <w:color w:val="auto"/>
              </w:rPr>
            </w:pPr>
          </w:p>
        </w:tc>
      </w:tr>
      <w:tr>
        <w:trPr>
          <w:trHeight w:val="430"/>
        </w:trPr>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Wise</w:t>
            </w:r>
          </w:p>
        </w:tc>
        <w:tc>
          <w:tcPr>
            <w:tcW w:w="7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Accounting Officer (Principal Accounting Officer)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June 3, 2026</w:t>
            </w:r>
          </w:p>
        </w:tc>
      </w:tr>
      <w:tr>
        <w:trPr>
          <w:trHeight w:val="238"/>
        </w:trPr>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James Wise</w:t>
            </w:r>
          </w:p>
        </w:tc>
        <w:tc>
          <w:tcPr>
            <w:tcW w:w="1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0"/>
        </w:trPr>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Kevin Reddy</w:t>
            </w:r>
          </w:p>
        </w:tc>
        <w:tc>
          <w:tcPr>
            <w:tcW w:w="7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Independent Chair of the Board</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June 3, 2026</w:t>
            </w:r>
          </w:p>
        </w:tc>
      </w:tr>
      <w:tr>
        <w:trPr>
          <w:trHeight w:val="238"/>
        </w:trPr>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Kevin Reddy</w:t>
            </w:r>
          </w:p>
        </w:tc>
        <w:tc>
          <w:tcPr>
            <w:tcW w:w="1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0"/>
        </w:trPr>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Janet Haugen</w:t>
            </w:r>
          </w:p>
        </w:tc>
        <w:tc>
          <w:tcPr>
            <w:tcW w:w="7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June 3, 2026</w:t>
            </w:r>
          </w:p>
        </w:tc>
      </w:tr>
      <w:tr>
        <w:trPr>
          <w:trHeight w:val="238"/>
        </w:trPr>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Janet Haugen</w:t>
            </w:r>
          </w:p>
        </w:tc>
        <w:tc>
          <w:tcPr>
            <w:tcW w:w="1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17"/>
        </w:trPr>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Irv Henderson</w:t>
            </w:r>
          </w:p>
        </w:tc>
        <w:tc>
          <w:tcPr>
            <w:tcW w:w="7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June 3, 2026</w:t>
            </w:r>
          </w:p>
        </w:tc>
      </w:tr>
      <w:tr>
        <w:trPr>
          <w:trHeight w:val="238"/>
        </w:trPr>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Irv Henderson</w:t>
            </w:r>
          </w:p>
        </w:tc>
        <w:tc>
          <w:tcPr>
            <w:tcW w:w="1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17"/>
        </w:trPr>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Kirk Larsen</w:t>
            </w:r>
          </w:p>
        </w:tc>
        <w:tc>
          <w:tcPr>
            <w:tcW w:w="7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June 3, 2026</w:t>
            </w:r>
          </w:p>
        </w:tc>
      </w:tr>
      <w:tr>
        <w:trPr>
          <w:trHeight w:val="238"/>
        </w:trPr>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Kirk Larsen</w:t>
            </w:r>
          </w:p>
        </w:tc>
        <w:tc>
          <w:tcPr>
            <w:tcW w:w="1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17"/>
        </w:trPr>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Laura Miller</w:t>
            </w:r>
          </w:p>
        </w:tc>
        <w:tc>
          <w:tcPr>
            <w:tcW w:w="7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June 3, 2026</w:t>
            </w:r>
          </w:p>
        </w:tc>
      </w:tr>
      <w:tr>
        <w:trPr>
          <w:trHeight w:val="238"/>
        </w:trPr>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Laura Miller</w:t>
            </w:r>
          </w:p>
        </w:tc>
        <w:tc>
          <w:tcPr>
            <w:tcW w:w="1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17"/>
        </w:trPr>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Laura Sen</w:t>
            </w:r>
          </w:p>
        </w:tc>
        <w:tc>
          <w:tcPr>
            <w:tcW w:w="7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June 3, 2026</w:t>
            </w:r>
          </w:p>
        </w:tc>
      </w:tr>
      <w:tr>
        <w:trPr>
          <w:trHeight w:val="238"/>
        </w:trPr>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Laura Sen</w:t>
            </w:r>
          </w:p>
        </w:tc>
        <w:tc>
          <w:tcPr>
            <w:tcW w:w="1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17"/>
        </w:trPr>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Jeffrey Sloan</w:t>
            </w:r>
          </w:p>
        </w:tc>
        <w:tc>
          <w:tcPr>
            <w:tcW w:w="7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June 3, 2026</w:t>
            </w:r>
          </w:p>
        </w:tc>
      </w:tr>
      <w:tr>
        <w:trPr>
          <w:trHeight w:val="238"/>
        </w:trPr>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Jeffrey Sloan</w:t>
            </w:r>
          </w:p>
        </w:tc>
        <w:tc>
          <w:tcPr>
            <w:tcW w:w="1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511"/>
        </w:trPr>
        <w:tc>
          <w:tcPr>
            <w:tcW w:w="2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7" w:name="page8"/>
    <w:bookmarkEnd w:id="7"/>
    <w:p>
      <w:pPr>
        <w:ind w:left="104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5.1</w:t>
      </w:r>
    </w:p>
    <w:p>
      <w:pPr>
        <w:spacing w:after="0" w:line="241" w:lineRule="exact"/>
        <w:rPr>
          <w:sz w:val="20"/>
          <w:szCs w:val="20"/>
          <w:color w:val="auto"/>
        </w:rPr>
      </w:pPr>
    </w:p>
    <w:p>
      <w:pPr>
        <w:jc w:val="both"/>
        <w:ind w:left="7400" w:hanging="841"/>
        <w:spacing w:after="0" w:line="282" w:lineRule="auto"/>
        <w:rPr>
          <w:sz w:val="20"/>
          <w:szCs w:val="20"/>
          <w:color w:val="auto"/>
        </w:rPr>
      </w:pPr>
      <w:r>
        <w:rPr>
          <w:rFonts w:ascii="Times New Roman" w:cs="Times New Roman" w:eastAsia="Times New Roman" w:hAnsi="Times New Roman"/>
          <w:sz w:val="18"/>
          <w:szCs w:val="18"/>
          <w:color w:val="061E3C"/>
        </w:rPr>
        <w:t xml:space="preserve">750 E. PRATT STREET SUITE 900 BALTIMORE, MD 21202 </w:t>
      </w:r>
      <w:r>
        <w:rPr>
          <w:rFonts w:ascii="Times New Roman" w:cs="Times New Roman" w:eastAsia="Times New Roman" w:hAnsi="Times New Roman"/>
          <w:sz w:val="18"/>
          <w:szCs w:val="18"/>
          <w:b w:val="1"/>
          <w:bCs w:val="1"/>
          <w:color w:val="061E3C"/>
        </w:rPr>
        <w:t xml:space="preserve">T </w:t>
      </w:r>
      <w:r>
        <w:rPr>
          <w:rFonts w:ascii="Times New Roman" w:cs="Times New Roman" w:eastAsia="Times New Roman" w:hAnsi="Times New Roman"/>
          <w:sz w:val="18"/>
          <w:szCs w:val="18"/>
          <w:color w:val="061E3C"/>
        </w:rPr>
        <w:t>410.244.7400</w:t>
      </w:r>
      <w:r>
        <w:rPr>
          <w:rFonts w:ascii="Times New Roman" w:cs="Times New Roman" w:eastAsia="Times New Roman" w:hAnsi="Times New Roman"/>
          <w:sz w:val="18"/>
          <w:szCs w:val="18"/>
          <w:b w:val="1"/>
          <w:bCs w:val="1"/>
          <w:color w:val="061E3C"/>
        </w:rPr>
        <w:t xml:space="preserve"> F </w:t>
      </w:r>
      <w:r>
        <w:rPr>
          <w:rFonts w:ascii="Times New Roman" w:cs="Times New Roman" w:eastAsia="Times New Roman" w:hAnsi="Times New Roman"/>
          <w:sz w:val="18"/>
          <w:szCs w:val="18"/>
          <w:color w:val="061E3C"/>
        </w:rPr>
        <w:t>410.244.7742 www.Venable.com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4889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7132320" cy="4889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3,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NCR Voyix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864 Spring Street NW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GA 30308</w:t>
      </w:r>
    </w:p>
    <w:p>
      <w:pPr>
        <w:spacing w:after="0" w:line="207"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Registration Statement on Form S-8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80" w:firstLine="1296"/>
        <w:spacing w:after="0" w:line="256" w:lineRule="auto"/>
        <w:rPr>
          <w:sz w:val="20"/>
          <w:szCs w:val="20"/>
          <w:color w:val="auto"/>
        </w:rPr>
      </w:pPr>
      <w:r>
        <w:rPr>
          <w:rFonts w:ascii="Times New Roman" w:cs="Times New Roman" w:eastAsia="Times New Roman" w:hAnsi="Times New Roman"/>
          <w:sz w:val="18"/>
          <w:szCs w:val="18"/>
          <w:color w:val="auto"/>
        </w:rPr>
        <w:t>We have served as Maryland counsel to NCR Voyix Corporation, a Maryland corporation (the “Company”), in connection with certain matters of Maryland law relating to the registration of the issuance by the Company of up to 10,629,158 shares (the “Shares”) of common stock, $0.01 par value per share (the “Common Stock”), of the Company issuable pursuant to the NCR Voyix Corporation 2026 Stock Incentive Plan (the “Plan”). The Shares are covered by the above-referenced Registration Statement, and all amendments thereto (the “Registration Statement”), filed by the Company with the United States Securities and Exchange Commission (the “Commission”) under the Securities Act of 1933, as amended (the “1933 Act”), on or about the date hereof.</w:t>
      </w:r>
    </w:p>
    <w:p>
      <w:pPr>
        <w:spacing w:after="0" w:line="187" w:lineRule="exact"/>
        <w:rPr>
          <w:sz w:val="20"/>
          <w:szCs w:val="20"/>
          <w:color w:val="auto"/>
        </w:rPr>
      </w:pPr>
    </w:p>
    <w:p>
      <w:pPr>
        <w:ind w:right="40" w:firstLine="1296"/>
        <w:spacing w:after="0" w:line="282" w:lineRule="auto"/>
        <w:rPr>
          <w:sz w:val="20"/>
          <w:szCs w:val="20"/>
          <w:color w:val="auto"/>
        </w:rPr>
      </w:pPr>
      <w:r>
        <w:rPr>
          <w:rFonts w:ascii="Times New Roman" w:cs="Times New Roman" w:eastAsia="Times New Roman" w:hAnsi="Times New Roman"/>
          <w:sz w:val="18"/>
          <w:szCs w:val="18"/>
          <w:color w:val="auto"/>
        </w:rPr>
        <w:t>In connection with our representation of the Company, and as a basis for the opinion hereinafter set forth, we have examined originals, or copies certified or otherwise identified to our satisfaction, of the following documents (hereinafter collectively referred to as the “Documents”):</w:t>
      </w:r>
    </w:p>
    <w:p>
      <w:pPr>
        <w:spacing w:after="0" w:line="162" w:lineRule="exact"/>
        <w:rPr>
          <w:sz w:val="20"/>
          <w:szCs w:val="20"/>
          <w:color w:val="auto"/>
        </w:rPr>
      </w:pPr>
    </w:p>
    <w:p>
      <w:pPr>
        <w:ind w:left="1880" w:hanging="576"/>
        <w:spacing w:after="0"/>
        <w:tabs>
          <w:tab w:leader="none" w:pos="1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225"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charter of the Company (the “Charter”), certified by the State Department of Assessments and Taxation of Maryland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“SDAT”);</w:t>
      </w:r>
    </w:p>
    <w:p>
      <w:pPr>
        <w:spacing w:after="0" w:line="207" w:lineRule="exact"/>
        <w:rPr>
          <w:sz w:val="20"/>
          <w:szCs w:val="20"/>
          <w:color w:val="auto"/>
        </w:rPr>
      </w:pPr>
    </w:p>
    <w:p>
      <w:pPr>
        <w:ind w:left="1880" w:hanging="576"/>
        <w:spacing w:after="0"/>
        <w:tabs>
          <w:tab w:leader="none" w:pos="1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Bylaws of the Company, certified as of the date hereof by an officer of the Company;</w:t>
      </w:r>
    </w:p>
    <w:p>
      <w:pPr>
        <w:spacing w:after="0" w:line="225"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SDAT as to the good standing of the Company, dated as of a recent date;</w:t>
      </w:r>
    </w:p>
    <w:p>
      <w:pPr>
        <w:spacing w:after="0" w:line="225" w:lineRule="exact"/>
        <w:rPr>
          <w:rFonts w:ascii="Times New Roman" w:cs="Times New Roman" w:eastAsia="Times New Roman" w:hAnsi="Times New Roman"/>
          <w:sz w:val="18"/>
          <w:szCs w:val="18"/>
          <w:color w:val="auto"/>
        </w:rPr>
      </w:pPr>
    </w:p>
    <w:p>
      <w:pPr>
        <w:ind w:right="660" w:firstLine="1304"/>
        <w:spacing w:after="0" w:line="282" w:lineRule="auto"/>
        <w:tabs>
          <w:tab w:leader="none" w:pos="188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Resolutions (the “Resolutions”) adopted by the Board of Directors of the Company, relating to, among other matters, the approval of the Plan and the registration of the issuance of the Shares, certified as of the date hereof by an officer of the Company;</w:t>
      </w:r>
    </w:p>
    <w:p>
      <w:pPr>
        <w:spacing w:after="0" w:line="161"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certified as of the date hereof by an officer of the Company;</w:t>
      </w:r>
    </w:p>
    <w:p>
      <w:pPr>
        <w:spacing w:after="0" w:line="225"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executed by an officer of the Company, dated as of the date hereof;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883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7132320" cy="488315"/>
                    </a:xfrm>
                    <a:prstGeom prst="rect">
                      <a:avLst/>
                    </a:prstGeom>
                    <a:noFill/>
                  </pic:spPr>
                </pic:pic>
              </a:graphicData>
            </a:graphic>
          </wp:anchor>
        </w:drawing>
        <w:t>NCR Voyix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66" w:lineRule="exact"/>
        <w:rPr>
          <w:sz w:val="20"/>
          <w:szCs w:val="20"/>
          <w:color w:val="auto"/>
        </w:rPr>
      </w:pPr>
    </w:p>
    <w:p>
      <w:pPr>
        <w:ind w:right="40" w:firstLine="1304"/>
        <w:spacing w:after="0" w:line="282" w:lineRule="auto"/>
        <w:tabs>
          <w:tab w:leader="none" w:pos="18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and matters as we have deemed necessary or appropriate to express the opinion set forth below, subject to the assumptions, limitations and qualifications stated herein.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expressing the opinion set forth below, we have assumed the following:</w:t>
      </w:r>
    </w:p>
    <w:p>
      <w:pPr>
        <w:spacing w:after="0" w:line="225" w:lineRule="exact"/>
        <w:rPr>
          <w:sz w:val="20"/>
          <w:szCs w:val="20"/>
          <w:color w:val="auto"/>
        </w:rPr>
      </w:pPr>
    </w:p>
    <w:p>
      <w:pPr>
        <w:ind w:left="1880" w:hanging="576"/>
        <w:spacing w:after="0"/>
        <w:tabs>
          <w:tab w:leader="none" w:pos="1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individual executing any of the Documents, whether on behalf of such individual or another person, is legally competent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 so.</w:t>
      </w:r>
    </w:p>
    <w:p>
      <w:pPr>
        <w:spacing w:after="0" w:line="207" w:lineRule="exact"/>
        <w:rPr>
          <w:sz w:val="20"/>
          <w:szCs w:val="20"/>
          <w:color w:val="auto"/>
        </w:rPr>
      </w:pPr>
    </w:p>
    <w:p>
      <w:pPr>
        <w:ind w:left="1880" w:hanging="576"/>
        <w:spacing w:after="0"/>
        <w:tabs>
          <w:tab w:leader="none" w:pos="1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individual executing any of the Documents on behalf of a party (other than the Company) is duly authorized to do so.</w:t>
      </w:r>
    </w:p>
    <w:p>
      <w:pPr>
        <w:spacing w:after="0" w:line="225" w:lineRule="exact"/>
        <w:rPr>
          <w:rFonts w:ascii="Times New Roman" w:cs="Times New Roman" w:eastAsia="Times New Roman" w:hAnsi="Times New Roman"/>
          <w:sz w:val="18"/>
          <w:szCs w:val="18"/>
          <w:color w:val="auto"/>
        </w:rPr>
      </w:pPr>
    </w:p>
    <w:p>
      <w:pPr>
        <w:ind w:right="100" w:firstLine="1304"/>
        <w:spacing w:after="0" w:line="266" w:lineRule="auto"/>
        <w:tabs>
          <w:tab w:leader="none" w:pos="188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w:t>
      </w:r>
    </w:p>
    <w:p>
      <w:pPr>
        <w:spacing w:after="0" w:line="175" w:lineRule="exact"/>
        <w:rPr>
          <w:rFonts w:ascii="Times New Roman" w:cs="Times New Roman" w:eastAsia="Times New Roman" w:hAnsi="Times New Roman"/>
          <w:sz w:val="18"/>
          <w:szCs w:val="18"/>
          <w:color w:val="auto"/>
        </w:rPr>
      </w:pPr>
    </w:p>
    <w:p>
      <w:pPr>
        <w:ind w:firstLine="1304"/>
        <w:spacing w:after="0" w:line="256" w:lineRule="auto"/>
        <w:tabs>
          <w:tab w:leader="none" w:pos="187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w:t>
      </w:r>
    </w:p>
    <w:p>
      <w:pPr>
        <w:spacing w:after="0" w:line="187" w:lineRule="exact"/>
        <w:rPr>
          <w:rFonts w:ascii="Times New Roman" w:cs="Times New Roman" w:eastAsia="Times New Roman" w:hAnsi="Times New Roman"/>
          <w:sz w:val="18"/>
          <w:szCs w:val="18"/>
          <w:color w:val="auto"/>
        </w:rPr>
      </w:pPr>
    </w:p>
    <w:p>
      <w:pPr>
        <w:ind w:right="440" w:firstLine="1304"/>
        <w:spacing w:after="0" w:line="282" w:lineRule="auto"/>
        <w:tabs>
          <w:tab w:leader="none" w:pos="188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issuance of Shares, the total number of shares of Common Stock issued and outstanding will not exceed the total number of shares of Common Stock that the Company is then authorized to issue under the Charter.</w:t>
      </w:r>
    </w:p>
    <w:p>
      <w:pPr>
        <w:spacing w:after="0" w:line="161" w:lineRule="exact"/>
        <w:rPr>
          <w:rFonts w:ascii="Times New Roman" w:cs="Times New Roman" w:eastAsia="Times New Roman" w:hAnsi="Times New Roman"/>
          <w:sz w:val="18"/>
          <w:szCs w:val="18"/>
          <w:color w:val="auto"/>
        </w:rPr>
      </w:pPr>
    </w:p>
    <w:p>
      <w:pPr>
        <w:ind w:right="220" w:firstLine="1304"/>
        <w:spacing w:after="0" w:line="282" w:lineRule="auto"/>
        <w:tabs>
          <w:tab w:leader="none" w:pos="188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award that provides for the potential issuance of a Share pursuant to the Plan (each, an “Award”) will be duly authorized and validly granted in accordance with the Plan.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Based upon the foregoing, and subject to the assumptions, limitations and qualifications stated herein, it is our opinion that:</w:t>
      </w:r>
    </w:p>
    <w:p>
      <w:pPr>
        <w:spacing w:after="0" w:line="225" w:lineRule="exact"/>
        <w:rPr>
          <w:sz w:val="20"/>
          <w:szCs w:val="20"/>
          <w:color w:val="auto"/>
        </w:rPr>
      </w:pPr>
    </w:p>
    <w:p>
      <w:pPr>
        <w:ind w:right="120" w:firstLine="1304"/>
        <w:spacing w:after="0" w:line="282" w:lineRule="auto"/>
        <w:tabs>
          <w:tab w:leader="none" w:pos="187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corporation duly incorporated and existing under and by virtue of the laws of the State of Maryland and is in good standing with the SDAT.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883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7132320" cy="488315"/>
                    </a:xfrm>
                    <a:prstGeom prst="rect">
                      <a:avLst/>
                    </a:prstGeom>
                    <a:noFill/>
                  </pic:spPr>
                </pic:pic>
              </a:graphicData>
            </a:graphic>
          </wp:anchor>
        </w:drawing>
        <w:t>NCR Voyix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66" w:lineRule="exact"/>
        <w:rPr>
          <w:sz w:val="20"/>
          <w:szCs w:val="20"/>
          <w:color w:val="auto"/>
        </w:rPr>
      </w:pPr>
    </w:p>
    <w:p>
      <w:pPr>
        <w:ind w:right="180" w:firstLine="1304"/>
        <w:spacing w:after="0" w:line="282" w:lineRule="auto"/>
        <w:tabs>
          <w:tab w:leader="none" w:pos="187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the Shares has been duly authorized and, when and if issued in accordance with the Registration Statement, the Plan, the Resolutions and any applicable Award, the Shares will be validly issued, fully paid and nonassessable.</w:t>
      </w:r>
    </w:p>
    <w:p>
      <w:pPr>
        <w:spacing w:after="0" w:line="162"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The foregoing opinion is limited to the laws of the State of Maryland and we do not express any opinion herein concerning federal law or the laws of any other jurisdiction. We express no opinion as to the applicability or effect of federal or state securities laws, including the securities laws of the State of Maryland, or as to federal or state laws regarding fraudulent transfers. To the extent that any matter as to which our opinion is expressed herein would be governed by the laws of any jurisdiction other than the State of Maryland, we do not express any opinion on such matter. The opinion expressed herein is subject to the effect of any judicial decision which may permit the introduction of parol evidence to modify the terms or the interpretation of agreements.</w:t>
      </w:r>
    </w:p>
    <w:p>
      <w:pPr>
        <w:spacing w:after="0" w:line="187" w:lineRule="exact"/>
        <w:rPr>
          <w:sz w:val="20"/>
          <w:szCs w:val="20"/>
          <w:color w:val="auto"/>
        </w:rPr>
      </w:pPr>
    </w:p>
    <w:p>
      <w:pPr>
        <w:ind w:right="40" w:firstLine="1296"/>
        <w:spacing w:after="0" w:line="266" w:lineRule="auto"/>
        <w:rPr>
          <w:sz w:val="20"/>
          <w:szCs w:val="20"/>
          <w:color w:val="auto"/>
        </w:rPr>
      </w:pPr>
      <w:r>
        <w:rPr>
          <w:rFonts w:ascii="Times New Roman" w:cs="Times New Roman" w:eastAsia="Times New Roman" w:hAnsi="Times New Roman"/>
          <w:sz w:val="18"/>
          <w:szCs w:val="18"/>
          <w:color w:val="auto"/>
        </w:rPr>
        <w:t>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w:t>
      </w:r>
    </w:p>
    <w:p>
      <w:pPr>
        <w:spacing w:after="0" w:line="176" w:lineRule="exact"/>
        <w:rPr>
          <w:sz w:val="20"/>
          <w:szCs w:val="20"/>
          <w:color w:val="auto"/>
        </w:rPr>
      </w:pPr>
    </w:p>
    <w:p>
      <w:pPr>
        <w:ind w:right="60" w:firstLine="1296"/>
        <w:spacing w:after="0" w:line="266" w:lineRule="auto"/>
        <w:rPr>
          <w:sz w:val="20"/>
          <w:szCs w:val="20"/>
          <w:color w:val="auto"/>
        </w:rPr>
      </w:pPr>
      <w:r>
        <w:rPr>
          <w:rFonts w:ascii="Times New Roman" w:cs="Times New Roman" w:eastAsia="Times New Roman" w:hAnsi="Times New Roman"/>
          <w:sz w:val="18"/>
          <w:szCs w:val="18"/>
          <w:color w:val="auto"/>
        </w:rPr>
        <w:t>This opinion is being furnished to you for submission to the Commission as an exhibit to the Registration Statement. We hereby consent to the filing of this opinion as an exhibit to the Registration Statement and to the use of the name of our firm therein. In giving this consent, we do not admit that we are within the category of persons whose consent is required by Section 7 of the 1933 Act.</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Venable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NCR Voyix Corporation of our report dated February 26, 2026 relating to the financial statements, financial statement schedule and the effectiveness of internal control over financial reporting, which appears in NCR Voyix Corporation's Annual Report on Form 10-K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1" w:name="page12"/>
    <w:bookmarkEnd w:id="11"/>
    <w:p>
      <w:pPr>
        <w:ind w:left="103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107</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19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NCR Voyix Corporation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Table I: Newly Registered Securities</w:t>
      </w:r>
    </w:p>
    <w:p>
      <w:pPr>
        <w:spacing w:after="0" w:line="38"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280" w:type="dxa"/>
            <w:vAlign w:val="bottom"/>
            <w:tcBorders>
              <w:top w:val="single" w:sz="8" w:color="auto"/>
              <w:left w:val="single" w:sz="8" w:color="auto"/>
              <w:right w:val="single" w:sz="8" w:color="auto"/>
            </w:tcBorders>
          </w:tcPr>
          <w:p>
            <w:pPr>
              <w:spacing w:after="0"/>
              <w:rPr>
                <w:sz w:val="20"/>
                <w:szCs w:val="20"/>
                <w:color w:val="auto"/>
              </w:rPr>
            </w:pPr>
          </w:p>
        </w:tc>
        <w:tc>
          <w:tcPr>
            <w:tcW w:w="2580" w:type="dxa"/>
            <w:vAlign w:val="bottom"/>
            <w:tcBorders>
              <w:top w:val="single" w:sz="8" w:color="auto"/>
              <w:right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80" w:type="dxa"/>
            <w:vAlign w:val="bottom"/>
            <w:tcBorders>
              <w:top w:val="single" w:sz="8" w:color="auto"/>
              <w:right w:val="single" w:sz="8" w:color="auto"/>
            </w:tcBorders>
          </w:tcPr>
          <w:p>
            <w:pPr>
              <w:spacing w:after="0"/>
              <w:rPr>
                <w:sz w:val="20"/>
                <w:szCs w:val="20"/>
                <w:color w:val="auto"/>
              </w:rPr>
            </w:pPr>
          </w:p>
        </w:tc>
        <w:tc>
          <w:tcPr>
            <w:tcW w:w="1240" w:type="dxa"/>
            <w:vAlign w:val="bottom"/>
            <w:tcBorders>
              <w:top w:val="single" w:sz="8" w:color="auto"/>
              <w:right w:val="single" w:sz="8" w:color="auto"/>
            </w:tcBorders>
          </w:tcPr>
          <w:p>
            <w:pPr>
              <w:spacing w:after="0"/>
              <w:rPr>
                <w:sz w:val="20"/>
                <w:szCs w:val="20"/>
                <w:color w:val="auto"/>
              </w:rPr>
            </w:pPr>
          </w:p>
        </w:tc>
        <w:tc>
          <w:tcPr>
            <w:tcW w:w="1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220" w:type="dxa"/>
            <w:vAlign w:val="bottom"/>
            <w:tcBorders>
              <w:top w:val="single" w:sz="8" w:color="auto"/>
              <w:right w:val="single" w:sz="8" w:color="auto"/>
            </w:tcBorders>
          </w:tcPr>
          <w:p>
            <w:pPr>
              <w:spacing w:after="0"/>
              <w:rPr>
                <w:sz w:val="20"/>
                <w:szCs w:val="20"/>
                <w:color w:val="auto"/>
              </w:rPr>
            </w:pPr>
          </w:p>
        </w:tc>
        <w:tc>
          <w:tcPr>
            <w:tcW w:w="1240" w:type="dxa"/>
            <w:vAlign w:val="bottom"/>
            <w:tcBorders>
              <w:top w:val="single" w:sz="8" w:color="auto"/>
              <w:right w:val="single" w:sz="8" w:color="auto"/>
            </w:tcBorders>
          </w:tcPr>
          <w:p>
            <w:pPr>
              <w:spacing w:after="0"/>
              <w:rPr>
                <w:sz w:val="20"/>
                <w:szCs w:val="20"/>
                <w:color w:val="auto"/>
              </w:rPr>
            </w:pPr>
          </w:p>
        </w:tc>
        <w:tc>
          <w:tcPr>
            <w:tcW w:w="1220" w:type="dxa"/>
            <w:vAlign w:val="bottom"/>
            <w:tcBorders>
              <w:top w:val="single" w:sz="8" w:color="auto"/>
              <w:right w:val="single" w:sz="8" w:color="auto"/>
            </w:tcBorders>
          </w:tcPr>
          <w:p>
            <w:pPr>
              <w:spacing w:after="0"/>
              <w:rPr>
                <w:sz w:val="20"/>
                <w:szCs w:val="20"/>
                <w:color w:val="auto"/>
              </w:rPr>
            </w:pP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2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10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Fee</w:t>
            </w:r>
          </w:p>
        </w:tc>
        <w:tc>
          <w:tcPr>
            <w:tcW w:w="1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10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Calculation</w:t>
            </w:r>
          </w:p>
        </w:tc>
        <w:tc>
          <w:tcPr>
            <w:tcW w:w="1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2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Registration</w:t>
            </w:r>
          </w:p>
        </w:tc>
      </w:tr>
      <w:tr>
        <w:trPr>
          <w:trHeight w:val="265"/>
        </w:trPr>
        <w:tc>
          <w:tcPr>
            <w:tcW w:w="12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Security Type</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 Class Title</w:t>
            </w:r>
          </w:p>
        </w:tc>
        <w:tc>
          <w:tcPr>
            <w:tcW w:w="106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80" w:type="dxa"/>
            <w:vAlign w:val="bottom"/>
            <w:tcBorders>
              <w:bottom w:val="single" w:sz="8" w:color="auto"/>
              <w:right w:val="single" w:sz="8" w:color="auto"/>
            </w:tcBorders>
          </w:tcPr>
          <w:p>
            <w:pPr>
              <w:spacing w:after="0"/>
              <w:rPr>
                <w:sz w:val="23"/>
                <w:szCs w:val="23"/>
                <w:color w:val="auto"/>
              </w:rPr>
            </w:pP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Registered (1)</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Unit (2)</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 Price</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Fee</w:t>
            </w:r>
          </w:p>
        </w:tc>
      </w:tr>
      <w:tr>
        <w:trPr>
          <w:trHeight w:val="218"/>
        </w:trPr>
        <w:tc>
          <w:tcPr>
            <w:tcW w:w="1280" w:type="dxa"/>
            <w:vAlign w:val="bottom"/>
            <w:tcBorders>
              <w:left w:val="single" w:sz="8" w:color="auto"/>
              <w:right w:val="single" w:sz="8" w:color="auto"/>
            </w:tcBorders>
            <w:shd w:val="clear" w:color="auto" w:fill="CCEEFF"/>
          </w:tcPr>
          <w:p>
            <w:pPr>
              <w:spacing w:after="0"/>
              <w:rPr>
                <w:sz w:val="18"/>
                <w:szCs w:val="18"/>
                <w:color w:val="auto"/>
              </w:rPr>
            </w:pPr>
          </w:p>
        </w:tc>
        <w:tc>
          <w:tcPr>
            <w:tcW w:w="25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106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122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$138.10 per</w:t>
            </w:r>
          </w:p>
        </w:tc>
        <w:tc>
          <w:tcPr>
            <w:tcW w:w="1220" w:type="dxa"/>
            <w:vAlign w:val="bottom"/>
            <w:tcBorders>
              <w:right w:val="single" w:sz="8" w:color="auto"/>
            </w:tcBorders>
            <w:shd w:val="clear" w:color="auto" w:fill="CCEEFF"/>
          </w:tcPr>
          <w:p>
            <w:pPr>
              <w:spacing w:after="0"/>
              <w:rPr>
                <w:sz w:val="18"/>
                <w:szCs w:val="18"/>
                <w:color w:val="auto"/>
              </w:rPr>
            </w:pPr>
          </w:p>
        </w:tc>
      </w:tr>
      <w:tr>
        <w:trPr>
          <w:trHeight w:val="266"/>
        </w:trPr>
        <w:tc>
          <w:tcPr>
            <w:tcW w:w="128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25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per share ("Common Stock")</w:t>
            </w:r>
          </w:p>
        </w:tc>
        <w:tc>
          <w:tcPr>
            <w:tcW w:w="1060" w:type="dxa"/>
            <w:vAlign w:val="bottom"/>
            <w:tcBorders>
              <w:bottom w:val="single" w:sz="8" w:color="CCEEFF"/>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457(a)</w:t>
            </w:r>
          </w:p>
        </w:tc>
        <w:tc>
          <w:tcPr>
            <w:tcW w:w="180" w:type="dxa"/>
            <w:vAlign w:val="bottom"/>
            <w:tcBorders>
              <w:bottom w:val="single" w:sz="8" w:color="CCEEFF"/>
              <w:right w:val="single" w:sz="8" w:color="auto"/>
            </w:tcBorders>
            <w:shd w:val="clear" w:color="auto" w:fill="CCEEFF"/>
          </w:tcPr>
          <w:p>
            <w:pPr>
              <w:spacing w:after="0"/>
              <w:rPr>
                <w:sz w:val="22"/>
                <w:szCs w:val="22"/>
                <w:color w:val="auto"/>
              </w:rPr>
            </w:pPr>
          </w:p>
        </w:tc>
        <w:tc>
          <w:tcPr>
            <w:tcW w:w="1240" w:type="dxa"/>
            <w:vAlign w:val="bottom"/>
            <w:tcBorders>
              <w:bottom w:val="single" w:sz="8" w:color="CCEEFF"/>
              <w:right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10,629,158</w:t>
            </w:r>
          </w:p>
        </w:tc>
        <w:tc>
          <w:tcPr>
            <w:tcW w:w="12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$6.63</w:t>
            </w:r>
          </w:p>
        </w:tc>
        <w:tc>
          <w:tcPr>
            <w:tcW w:w="12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$70,471,317.54</w:t>
            </w:r>
          </w:p>
        </w:tc>
        <w:tc>
          <w:tcPr>
            <w:tcW w:w="12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million dollars</w:t>
            </w:r>
          </w:p>
        </w:tc>
        <w:tc>
          <w:tcPr>
            <w:tcW w:w="12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$9,732.09</w:t>
            </w:r>
          </w:p>
        </w:tc>
      </w:tr>
      <w:tr>
        <w:trPr>
          <w:trHeight w:val="237"/>
        </w:trPr>
        <w:tc>
          <w:tcPr>
            <w:tcW w:w="1280" w:type="dxa"/>
            <w:vAlign w:val="bottom"/>
            <w:tcBorders>
              <w:top w:val="single" w:sz="8" w:color="auto"/>
              <w:left w:val="single" w:sz="8" w:color="auto"/>
            </w:tcBorders>
          </w:tcPr>
          <w:p>
            <w:pPr>
              <w:spacing w:after="0"/>
              <w:rPr>
                <w:sz w:val="20"/>
                <w:szCs w:val="20"/>
                <w:color w:val="auto"/>
              </w:rPr>
            </w:pPr>
          </w:p>
        </w:tc>
        <w:tc>
          <w:tcPr>
            <w:tcW w:w="2580" w:type="dxa"/>
            <w:vAlign w:val="bottom"/>
            <w:tcBorders>
              <w:top w:val="single" w:sz="8" w:color="auto"/>
            </w:tcBorders>
          </w:tcPr>
          <w:p>
            <w:pPr>
              <w:spacing w:after="0"/>
              <w:rPr>
                <w:sz w:val="20"/>
                <w:szCs w:val="20"/>
                <w:color w:val="auto"/>
              </w:rPr>
            </w:pPr>
          </w:p>
        </w:tc>
        <w:tc>
          <w:tcPr>
            <w:tcW w:w="2480" w:type="dxa"/>
            <w:vAlign w:val="bottom"/>
            <w:tcBorders>
              <w:top w:val="single" w:sz="8" w:color="auto"/>
              <w:right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 Offering Amounts</w:t>
            </w:r>
          </w:p>
        </w:tc>
        <w:tc>
          <w:tcPr>
            <w:tcW w:w="1240" w:type="dxa"/>
            <w:vAlign w:val="bottom"/>
            <w:tcBorders>
              <w:top w:val="single" w:sz="8" w:color="auto"/>
              <w:right w:val="single" w:sz="8" w:color="auto"/>
            </w:tcBorders>
          </w:tcPr>
          <w:p>
            <w:pPr>
              <w:spacing w:after="0"/>
              <w:rPr>
                <w:sz w:val="20"/>
                <w:szCs w:val="20"/>
                <w:color w:val="auto"/>
              </w:rPr>
            </w:pPr>
          </w:p>
        </w:tc>
        <w:tc>
          <w:tcPr>
            <w:tcW w:w="1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$70,471,317.54</w:t>
            </w:r>
          </w:p>
        </w:tc>
        <w:tc>
          <w:tcPr>
            <w:tcW w:w="1240" w:type="dxa"/>
            <w:vAlign w:val="bottom"/>
            <w:tcBorders>
              <w:top w:val="single" w:sz="8" w:color="auto"/>
              <w:right w:val="single" w:sz="8" w:color="auto"/>
            </w:tcBorders>
          </w:tcPr>
          <w:p>
            <w:pPr>
              <w:spacing w:after="0"/>
              <w:rPr>
                <w:sz w:val="20"/>
                <w:szCs w:val="20"/>
                <w:color w:val="auto"/>
              </w:rPr>
            </w:pPr>
          </w:p>
        </w:tc>
        <w:tc>
          <w:tcPr>
            <w:tcW w:w="1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$9,732.09</w:t>
            </w:r>
          </w:p>
        </w:tc>
      </w:tr>
      <w:tr>
        <w:trPr>
          <w:trHeight w:val="27"/>
        </w:trPr>
        <w:tc>
          <w:tcPr>
            <w:tcW w:w="1280" w:type="dxa"/>
            <w:vAlign w:val="bottom"/>
            <w:tcBorders>
              <w:left w:val="single" w:sz="8" w:color="auto"/>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r>
      <w:tr>
        <w:trPr>
          <w:trHeight w:val="268"/>
        </w:trPr>
        <w:tc>
          <w:tcPr>
            <w:tcW w:w="1280" w:type="dxa"/>
            <w:vAlign w:val="bottom"/>
            <w:tcBorders>
              <w:left w:val="single" w:sz="8" w:color="auto"/>
              <w:bottom w:val="single" w:sz="8" w:color="CCEEFF"/>
              <w:right w:val="single" w:sz="8" w:color="CCEEFF"/>
            </w:tcBorders>
            <w:shd w:val="clear" w:color="auto" w:fill="CCEEFF"/>
          </w:tcPr>
          <w:p>
            <w:pPr>
              <w:spacing w:after="0"/>
              <w:rPr>
                <w:sz w:val="22"/>
                <w:szCs w:val="22"/>
                <w:color w:val="auto"/>
              </w:rPr>
            </w:pPr>
          </w:p>
        </w:tc>
        <w:tc>
          <w:tcPr>
            <w:tcW w:w="2580" w:type="dxa"/>
            <w:vAlign w:val="bottom"/>
            <w:tcBorders>
              <w:bottom w:val="single" w:sz="8" w:color="CCEEFF"/>
              <w:right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right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Total Fee Offsets</w:t>
            </w:r>
          </w:p>
        </w:tc>
        <w:tc>
          <w:tcPr>
            <w:tcW w:w="1240" w:type="dxa"/>
            <w:vAlign w:val="bottom"/>
            <w:tcBorders>
              <w:bottom w:val="single" w:sz="8" w:color="CCEEFF"/>
              <w:right w:val="single" w:sz="8" w:color="auto"/>
            </w:tcBorders>
            <w:shd w:val="clear" w:color="auto" w:fill="CCEEFF"/>
          </w:tcPr>
          <w:p>
            <w:pPr>
              <w:spacing w:after="0"/>
              <w:rPr>
                <w:sz w:val="22"/>
                <w:szCs w:val="22"/>
                <w:color w:val="auto"/>
              </w:rPr>
            </w:pPr>
          </w:p>
        </w:tc>
        <w:tc>
          <w:tcPr>
            <w:tcW w:w="1220" w:type="dxa"/>
            <w:vAlign w:val="bottom"/>
            <w:tcBorders>
              <w:bottom w:val="single" w:sz="8" w:color="CCEEFF"/>
              <w:right w:val="single" w:sz="8" w:color="auto"/>
            </w:tcBorders>
            <w:shd w:val="clear" w:color="auto" w:fill="CCEEFF"/>
          </w:tcPr>
          <w:p>
            <w:pPr>
              <w:spacing w:after="0"/>
              <w:rPr>
                <w:sz w:val="22"/>
                <w:szCs w:val="22"/>
                <w:color w:val="auto"/>
              </w:rPr>
            </w:pPr>
          </w:p>
        </w:tc>
        <w:tc>
          <w:tcPr>
            <w:tcW w:w="1240" w:type="dxa"/>
            <w:vAlign w:val="bottom"/>
            <w:tcBorders>
              <w:bottom w:val="single" w:sz="8" w:color="CCEEFF"/>
              <w:right w:val="single" w:sz="8" w:color="auto"/>
            </w:tcBorders>
            <w:shd w:val="clear" w:color="auto" w:fill="CCEEFF"/>
          </w:tcPr>
          <w:p>
            <w:pPr>
              <w:spacing w:after="0"/>
              <w:rPr>
                <w:sz w:val="22"/>
                <w:szCs w:val="22"/>
                <w:color w:val="auto"/>
              </w:rPr>
            </w:pPr>
          </w:p>
        </w:tc>
        <w:tc>
          <w:tcPr>
            <w:tcW w:w="12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7"/>
        </w:trPr>
        <w:tc>
          <w:tcPr>
            <w:tcW w:w="1280" w:type="dxa"/>
            <w:vAlign w:val="bottom"/>
            <w:tcBorders>
              <w:top w:val="single" w:sz="8" w:color="auto"/>
              <w:left w:val="single" w:sz="8" w:color="auto"/>
            </w:tcBorders>
          </w:tcPr>
          <w:p>
            <w:pPr>
              <w:spacing w:after="0"/>
              <w:rPr>
                <w:sz w:val="20"/>
                <w:szCs w:val="20"/>
                <w:color w:val="auto"/>
              </w:rPr>
            </w:pPr>
          </w:p>
        </w:tc>
        <w:tc>
          <w:tcPr>
            <w:tcW w:w="25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1240" w:type="dxa"/>
            <w:vAlign w:val="bottom"/>
            <w:tcBorders>
              <w:top w:val="single" w:sz="8" w:color="auto"/>
              <w:right w:val="single" w:sz="8" w:color="auto"/>
            </w:tcBorders>
          </w:tcPr>
          <w:p>
            <w:pPr>
              <w:spacing w:after="0"/>
              <w:rPr>
                <w:sz w:val="20"/>
                <w:szCs w:val="20"/>
                <w:color w:val="auto"/>
              </w:rPr>
            </w:pPr>
          </w:p>
        </w:tc>
        <w:tc>
          <w:tcPr>
            <w:tcW w:w="1220" w:type="dxa"/>
            <w:vAlign w:val="bottom"/>
            <w:tcBorders>
              <w:top w:val="single" w:sz="8" w:color="auto"/>
              <w:right w:val="single" w:sz="8" w:color="auto"/>
            </w:tcBorders>
          </w:tcPr>
          <w:p>
            <w:pPr>
              <w:spacing w:after="0"/>
              <w:rPr>
                <w:sz w:val="20"/>
                <w:szCs w:val="20"/>
                <w:color w:val="auto"/>
              </w:rPr>
            </w:pPr>
          </w:p>
        </w:tc>
        <w:tc>
          <w:tcPr>
            <w:tcW w:w="1240" w:type="dxa"/>
            <w:vAlign w:val="bottom"/>
            <w:tcBorders>
              <w:top w:val="single" w:sz="8" w:color="auto"/>
              <w:right w:val="single" w:sz="8" w:color="auto"/>
            </w:tcBorders>
          </w:tcPr>
          <w:p>
            <w:pPr>
              <w:spacing w:after="0"/>
              <w:rPr>
                <w:sz w:val="20"/>
                <w:szCs w:val="20"/>
                <w:color w:val="auto"/>
              </w:rPr>
            </w:pPr>
          </w:p>
        </w:tc>
        <w:tc>
          <w:tcPr>
            <w:tcW w:w="1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$9,732.09</w:t>
            </w:r>
          </w:p>
        </w:tc>
      </w:tr>
      <w:tr>
        <w:trPr>
          <w:trHeight w:val="27"/>
        </w:trPr>
        <w:tc>
          <w:tcPr>
            <w:tcW w:w="1280" w:type="dxa"/>
            <w:vAlign w:val="bottom"/>
            <w:tcBorders>
              <w:left w:val="single" w:sz="8" w:color="auto"/>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r>
    </w:tbl>
    <w:p>
      <w:pPr>
        <w:spacing w:after="0" w:line="9" w:lineRule="exact"/>
        <w:rPr>
          <w:sz w:val="20"/>
          <w:szCs w:val="20"/>
          <w:color w:val="auto"/>
        </w:rPr>
      </w:pPr>
    </w:p>
    <w:p>
      <w:pPr>
        <w:jc w:val="both"/>
        <w:ind w:left="320" w:right="120" w:hanging="312"/>
        <w:spacing w:after="0" w:line="261" w:lineRule="auto"/>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Registration Statement on Form S-8 covers 10,629,158 shares of Common Stock issuable under the NCR Voyix Corporation 2026 Stock Incentive Plan. In addition, pursuant to Rule 416(a) under the Securities Act of 1933, as amended (the “Securities Act”), this Registration Statement also covers an indeterminate number of additional shares which may be offered and issued to prevent dilution resulting from stock splits, stock dividends or similar transactions.</w:t>
      </w:r>
    </w:p>
    <w:p>
      <w:pPr>
        <w:spacing w:after="0" w:line="58" w:lineRule="exact"/>
        <w:rPr>
          <w:rFonts w:ascii="Times New Roman" w:cs="Times New Roman" w:eastAsia="Times New Roman" w:hAnsi="Times New Roman"/>
          <w:sz w:val="18"/>
          <w:szCs w:val="18"/>
          <w:color w:val="auto"/>
        </w:rPr>
      </w:pPr>
    </w:p>
    <w:p>
      <w:pPr>
        <w:jc w:val="both"/>
        <w:ind w:left="320" w:right="120" w:hanging="312"/>
        <w:spacing w:after="0" w:line="266" w:lineRule="auto"/>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457(c) and 457(h) of the Securities Act, the proposed maximum offering price per share, the proposed maximum aggregate offering price and the amount of registration fee are estimated solely for the purpose of calculating the amount of the registration fee and are based on the average of the high and low prices of shares of Common Stock of the registrant as reported on the New York Stock Exchange on May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60"/>
      </w:cols>
      <w:pgMar w:left="320" w:top="30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lowerLetter"/>
      <w:start w:val="1"/>
    </w:lvl>
  </w:abstractNum>
  <w:abstractNum w:abstractNumId="1">
    <w:nsid w:val="515F007C"/>
    <w:multiLevelType w:val="hybridMultilevel"/>
    <w:lvl w:ilvl="0">
      <w:lvlJc w:val="left"/>
      <w:lvlText w:val="%1"/>
      <w:numFmt w:val="decimal"/>
      <w:start w:val="107"/>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4">
    <w:nsid w:val="4DB127F8"/>
    <w:multiLevelType w:val="hybridMultilevel"/>
    <w:lvl w:ilvl="0">
      <w:lvlJc w:val="left"/>
      <w:lvlText w:val="(%1)"/>
      <w:numFmt w:val="lowerRoman"/>
      <w:start w:val="2"/>
    </w:lvl>
  </w:abstractNum>
  <w:abstractNum w:abstractNumId="5">
    <w:nsid w:val="216231B"/>
    <w:multiLevelType w:val="hybridMultilevel"/>
    <w:lvl w:ilvl="0">
      <w:lvlJc w:val="left"/>
      <w:lvlText w:val="%1"/>
      <w:numFmt w:val="upperLetter"/>
      <w:start w:val="1"/>
    </w:lvl>
    <w:lvl w:ilvl="1">
      <w:lvlJc w:val="left"/>
      <w:lvlText w:val="(%2)"/>
      <w:numFmt w:val="decimal"/>
      <w:start w:val="2"/>
    </w:lvl>
  </w:abstractNum>
  <w:abstractNum w:abstractNumId="6">
    <w:nsid w:val="1F16E9E8"/>
    <w:multiLevelType w:val="hybridMultilevel"/>
    <w:lvl w:ilvl="0">
      <w:lvlJc w:val="left"/>
      <w:lvlText w:val="%1."/>
      <w:numFmt w:val="upperLetter"/>
      <w:start w:val="2"/>
    </w:lvl>
    <w:lvl w:ilvl="1">
      <w:lvlJc w:val="left"/>
      <w:lvlText w:val="%2"/>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3"/>
    </w:lvl>
  </w:abstractNum>
  <w:abstractNum w:abstractNumId="9">
    <w:nsid w:val="140E0F76"/>
    <w:multiLevelType w:val="hybridMultilevel"/>
    <w:lvl w:ilvl="0">
      <w:lvlJc w:val="left"/>
      <w:lvlText w:val="%1."/>
      <w:numFmt w:val="decimal"/>
      <w:start w:val="8"/>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2"/>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2"/>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6" Type="http://schemas.openxmlformats.org/officeDocument/2006/relationships/image" Target="media/image13.png"/><Relationship Id="rId28"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18" Type="http://schemas.openxmlformats.org/officeDocument/2006/relationships/hyperlink" Target="https://www.sec.gov/ix?doc=/Archives/edgar/data/70866/000007086626000006/ncr-20251231.htm" TargetMode="External"/><Relationship Id="rId19" Type="http://schemas.openxmlformats.org/officeDocument/2006/relationships/hyperlink" Target="https://www.sec.gov/ix?doc=/Archives/edgar/data/70866/000007086626000010/ncr-20260421.htm" TargetMode="External"/><Relationship Id="rId20" Type="http://schemas.openxmlformats.org/officeDocument/2006/relationships/hyperlink" Target="https://www.sec.gov/ix?doc=/Archives/edgar/data/70866/000007086626000017/ncr-20260331.htm" TargetMode="External"/><Relationship Id="rId21" Type="http://schemas.openxmlformats.org/officeDocument/2006/relationships/hyperlink" Target="https://www.sec.gov/Archives/edgar/data/70866/000007086622000008/exhibit47descriptionofncrc.htm" TargetMode="External"/><Relationship Id="rId22" Type="http://schemas.openxmlformats.org/officeDocument/2006/relationships/hyperlink" Target="https://www.sec.gov/ix?doc=/Archives/edgar/data/70866/000007086622000008/ncr-20211231.htm" TargetMode="External"/><Relationship Id="rId25" Type="http://schemas.openxmlformats.org/officeDocument/2006/relationships/hyperlink" Target="https://www.sec.gov/Archives/edgar/data/70866/000119312523257806/d569776dex31.htm" TargetMode="External"/><Relationship Id="rId27" Type="http://schemas.openxmlformats.org/officeDocument/2006/relationships/hyperlink" Target="https://www.sec.gov/Archives/edgar/data/70866/000119312523257806/d569776dex32.htm" TargetMode="External"/><Relationship Id="rId29" Type="http://schemas.openxmlformats.org/officeDocument/2006/relationships/hyperlink" Target="https://www.sec.gov/Archives/edgar/data/70866/000119312523257806/d569776dex33.htm" TargetMode="External"/><Relationship Id="rId35" Type="http://schemas.openxmlformats.org/officeDocument/2006/relationships/hyperlink" Target="https://www.sec.gov/ix?doc=/Archives/edgar/data/70866/000007086626000010/ncr-20260421.htm#i640acfd70ae6481eb3321522a7b6c33e_12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2026-06-03T15:21:32Z</dcterms:created>
  <dcterms:modified xsi:type="dcterms:W3CDTF">2026-06-03T15:21:32Z</dcterms:modified>
</cp:coreProperties>
</file>