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109855</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76835</wp:posOffset>
            </wp:positionV>
            <wp:extent cx="634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71" w:lineRule="exact"/>
        <w:rPr>
          <w:sz w:val="24"/>
          <w:szCs w:val="24"/>
          <w:color w:val="auto"/>
        </w:rPr>
      </w:pPr>
    </w:p>
    <w:p>
      <w:pPr>
        <w:ind w:left="900" w:right="2160" w:hanging="879"/>
        <w:spacing w:after="0" w:line="421" w:lineRule="auto"/>
        <w:tabs>
          <w:tab w:leader="none" w:pos="29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93" w:lineRule="exact"/>
        <w:rPr>
          <w:sz w:val="24"/>
          <w:szCs w:val="24"/>
          <w:color w:val="auto"/>
        </w:rPr>
      </w:pPr>
    </w:p>
    <w:p>
      <w:pPr>
        <w:ind w:left="300" w:right="2160" w:hanging="279"/>
        <w:spacing w:after="0" w:line="232" w:lineRule="auto"/>
        <w:tabs>
          <w:tab w:leader="none" w:pos="300" w:val="left"/>
        </w:tabs>
        <w:numPr>
          <w:ilvl w:val="0"/>
          <w:numId w:val="2"/>
        </w:numPr>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 to ____________</w:t>
      </w:r>
    </w:p>
    <w:p>
      <w:pPr>
        <w:spacing w:after="0" w:line="369" w:lineRule="exact"/>
        <w:rPr>
          <w:rFonts w:ascii="Wingdings" w:cs="Wingdings" w:eastAsia="Wingdings" w:hAnsi="Wingdings"/>
          <w:sz w:val="35"/>
          <w:szCs w:val="35"/>
          <w:b w:val="1"/>
          <w:bCs w:val="1"/>
          <w:color w:val="auto"/>
          <w:vertAlign w:val="subscript"/>
        </w:rPr>
      </w:pPr>
    </w:p>
    <w:p>
      <w:pPr>
        <w:ind w:left="280"/>
        <w:spacing w:after="0"/>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Commission File Number: 001-00395</w:t>
      </w:r>
    </w:p>
    <w:p>
      <w:pPr>
        <w:spacing w:after="0" w:line="9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NCR VOYIX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4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ectPr>
          <w:pgSz w:w="11900" w:h="16838" w:orient="portrait"/>
          <w:cols w:equalWidth="0" w:num="1">
            <w:col w:w="11240"/>
          </w:cols>
          <w:pgMar w:left="320" w:top="221" w:right="339"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31-0387920</w:t>
      </w:r>
    </w:p>
    <w:p>
      <w:pPr>
        <w:spacing w:after="0" w:line="20" w:lineRule="exact"/>
        <w:rPr>
          <w:sz w:val="24"/>
          <w:szCs w:val="24"/>
          <w:color w:val="auto"/>
        </w:rPr>
      </w:pPr>
    </w:p>
    <w:p>
      <w:pPr>
        <w:sectPr>
          <w:pgSz w:w="11900" w:h="16838" w:orient="portrait"/>
          <w:cols w:equalWidth="0" w:num="2">
            <w:col w:w="7340" w:space="720"/>
            <w:col w:w="3180"/>
          </w:cols>
          <w:pgMar w:left="320" w:top="221" w:right="339" w:bottom="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74" w:lineRule="exact"/>
        <w:rPr>
          <w:sz w:val="24"/>
          <w:szCs w:val="24"/>
          <w:color w:val="auto"/>
        </w:rPr>
      </w:pPr>
    </w:p>
    <w:p>
      <w:pPr>
        <w:sectPr>
          <w:pgSz w:w="11900" w:h="16838" w:orient="portrait"/>
          <w:cols w:equalWidth="0" w:num="2">
            <w:col w:w="7220" w:space="720"/>
            <w:col w:w="3300"/>
          </w:cols>
          <w:pgMar w:left="320" w:top="221"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864 Spring Street NW</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Atlanta, GA 30308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ectPr>
          <w:pgSz w:w="11900" w:h="16838" w:orient="portrait"/>
          <w:cols w:equalWidth="0" w:num="1">
            <w:col w:w="11240"/>
          </w:cols>
          <w:pgMar w:left="320" w:top="221" w:right="339" w:bottom="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(800) 225-5627</w:t>
      </w:r>
    </w:p>
    <w:p>
      <w:pPr>
        <w:spacing w:after="0" w:line="200" w:lineRule="exact"/>
        <w:rPr>
          <w:sz w:val="24"/>
          <w:szCs w:val="24"/>
          <w:color w:val="auto"/>
        </w:rPr>
      </w:pPr>
    </w:p>
    <w:p>
      <w:pPr>
        <w:spacing w:after="0" w:line="3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221" w:right="339" w:bottom="0" w:gutter="0" w:footer="0" w:header="0"/>
          <w:type w:val="continuous"/>
        </w:sectPr>
      </w:pPr>
    </w:p>
    <w:p>
      <w:pPr>
        <w:spacing w:after="0" w:line="308"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95" w:lineRule="exact"/>
        <w:rPr>
          <w:sz w:val="24"/>
          <w:szCs w:val="24"/>
          <w:color w:val="auto"/>
        </w:rPr>
      </w:pPr>
    </w:p>
    <w:p>
      <w:pPr>
        <w:sectPr>
          <w:pgSz w:w="11900" w:h="16838" w:orient="portrait"/>
          <w:cols w:equalWidth="0" w:num="3">
            <w:col w:w="4080" w:space="720"/>
            <w:col w:w="1880" w:space="720"/>
            <w:col w:w="3840"/>
          </w:cols>
          <w:pgMar w:left="320" w:top="221" w:right="339"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68" w:lineRule="exact"/>
        <w:rPr>
          <w:sz w:val="24"/>
          <w:szCs w:val="24"/>
          <w:color w:val="auto"/>
        </w:rPr>
      </w:pPr>
    </w:p>
    <w:p>
      <w:pPr>
        <w:sectPr>
          <w:pgSz w:w="11900" w:h="16838" w:orient="portrait"/>
          <w:cols w:equalWidth="0" w:num="3">
            <w:col w:w="4580" w:space="720"/>
            <w:col w:w="2060" w:space="720"/>
            <w:col w:w="3160"/>
          </w:cols>
          <w:pgMar w:left="320" w:top="221" w:right="339" w:bottom="0" w:gutter="0" w:footer="0" w:header="0"/>
          <w:type w:val="continuous"/>
        </w:sectPr>
      </w:pPr>
    </w:p>
    <w:p>
      <w:pPr>
        <w:jc w:val="both"/>
        <w:ind w:firstLine="181"/>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jc w:val="both"/>
        <w:ind w:firstLine="268"/>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20"/>
        <w:spacing w:after="0" w:line="196" w:lineRule="exact"/>
        <w:tabs>
          <w:tab w:leader="none" w:pos="7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257"/>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4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980" w:space="720"/>
            <w:col w:w="2540"/>
          </w:cols>
          <w:pgMar w:left="320" w:top="221" w:right="339" w:bottom="0" w:gutter="0" w:footer="0" w:header="0"/>
          <w:type w:val="continuous"/>
        </w:sectPr>
      </w:pPr>
    </w:p>
    <w:p>
      <w:pPr>
        <w:spacing w:after="0" w:line="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93" w:lineRule="exact"/>
        <w:rPr>
          <w:sz w:val="24"/>
          <w:szCs w:val="24"/>
          <w:color w:val="auto"/>
        </w:rPr>
      </w:pPr>
    </w:p>
    <w:p>
      <w:pPr>
        <w:sectPr>
          <w:pgSz w:w="11900" w:h="16838" w:orient="portrait"/>
          <w:cols w:equalWidth="0" w:num="2">
            <w:col w:w="7240" w:space="720"/>
            <w:col w:w="3280"/>
          </w:cols>
          <w:pgMar w:left="320" w:top="221" w:right="339" w:bottom="0" w:gutter="0" w:footer="0" w:header="0"/>
          <w:type w:val="continuous"/>
        </w:sectPr>
      </w:pPr>
    </w:p>
    <w:p>
      <w:pPr>
        <w:ind w:left="7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1" w:right="339" w:bottom="0" w:gutter="0" w:footer="0" w:header="0"/>
          <w:type w:val="continuous"/>
        </w:sectPr>
      </w:pPr>
    </w:p>
    <w:p>
      <w:pPr>
        <w:spacing w:after="0" w:line="206" w:lineRule="exact"/>
        <w:rPr>
          <w:sz w:val="24"/>
          <w:szCs w:val="24"/>
          <w:color w:val="auto"/>
        </w:rPr>
      </w:pPr>
    </w:p>
    <w:p>
      <w:pPr>
        <w:ind w:right="240" w:firstLine="173"/>
        <w:spacing w:after="0" w:line="292"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56" w:lineRule="exact"/>
        <w:rPr>
          <w:sz w:val="24"/>
          <w:szCs w:val="24"/>
          <w:color w:val="auto"/>
        </w:rPr>
      </w:pPr>
    </w:p>
    <w:p>
      <w:pPr>
        <w:ind w:left="620" w:right="1600"/>
        <w:spacing w:after="0" w:line="3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29, 2026, there were approximately 135,860,309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107315</wp:posOffset>
            </wp:positionV>
            <wp:extent cx="634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74295</wp:posOffset>
            </wp:positionV>
            <wp:extent cx="634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ectPr>
          <w:pgSz w:w="11900" w:h="16838" w:orient="portrait"/>
          <w:cols w:equalWidth="0" w:num="1">
            <w:col w:w="11240"/>
          </w:cols>
          <w:pgMar w:left="320" w:top="221"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290195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9180" w:type="dxa"/>
            <w:vAlign w:val="bottom"/>
            <w:gridSpan w:val="14"/>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86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 Three and Nine Months Ended September 30, 2026 and 2025</w:t>
            </w:r>
          </w:p>
        </w:tc>
        <w:tc>
          <w:tcPr>
            <w:tcW w:w="128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 Three and Nine Months Ended September 30, 2026</w:t>
            </w:r>
          </w:p>
        </w:tc>
        <w:tc>
          <w:tcPr>
            <w:tcW w:w="240" w:type="dxa"/>
            <w:vAlign w:val="bottom"/>
            <w:gridSpan w:val="2"/>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36" w:lineRule="exact"/>
              <w:rPr>
                <w:sz w:val="20"/>
                <w:szCs w:val="20"/>
                <w:color w:val="auto"/>
              </w:rPr>
            </w:pPr>
            <w:r>
              <w:rPr>
                <w:rFonts w:ascii="Times New Roman" w:cs="Times New Roman" w:eastAsia="Times New Roman" w:hAnsi="Times New Roman"/>
                <w:sz w:val="15"/>
                <w:szCs w:val="15"/>
                <w:color w:val="0000FF"/>
              </w:rPr>
              <w:t>and 2025</w:t>
            </w:r>
          </w:p>
        </w:tc>
        <w:tc>
          <w:tcPr>
            <w:tcW w:w="88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 September 30, 2026 and December 31, 2025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20" w:type="dxa"/>
            <w:vAlign w:val="bottom"/>
          </w:tcPr>
          <w:p>
            <w:pPr>
              <w:spacing w:after="0"/>
              <w:rPr>
                <w:sz w:val="24"/>
                <w:szCs w:val="24"/>
                <w:color w:val="auto"/>
              </w:rPr>
            </w:pPr>
          </w:p>
        </w:tc>
        <w:tc>
          <w:tcPr>
            <w:tcW w:w="8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 Nine Months Ended September 30, 2026 and 2025</w:t>
            </w:r>
          </w:p>
        </w:tc>
        <w:tc>
          <w:tcPr>
            <w:tcW w:w="1960" w:type="dxa"/>
            <w:vAlign w:val="bottom"/>
            <w:gridSpan w:val="4"/>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 (Deficit) (Unaudited) Three and Nine Months Ended September</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640" w:type="dxa"/>
            <w:vAlign w:val="bottom"/>
            <w:tcBorders>
              <w:top w:val="single" w:sz="8" w:color="0000FF"/>
            </w:tcBorders>
            <w:gridSpan w:val="17"/>
          </w:tcPr>
          <w:p>
            <w:pPr>
              <w:spacing w:after="0" w:line="149" w:lineRule="exact"/>
              <w:rPr>
                <w:sz w:val="20"/>
                <w:szCs w:val="20"/>
                <w:color w:val="auto"/>
              </w:rPr>
            </w:pPr>
            <w:r>
              <w:rPr>
                <w:rFonts w:ascii="Times New Roman" w:cs="Times New Roman" w:eastAsia="Times New Roman" w:hAnsi="Times New Roman"/>
                <w:sz w:val="17"/>
                <w:szCs w:val="17"/>
                <w:color w:val="0000FF"/>
              </w:rPr>
              <w:t>30, 2026 and 2025</w:t>
            </w:r>
          </w:p>
        </w:tc>
        <w:tc>
          <w:tcPr>
            <w:tcW w:w="32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40" w:type="dxa"/>
            <w:vAlign w:val="bottom"/>
            <w:tcBorders>
              <w:left w:val="single" w:sz="8" w:color="0000FF"/>
            </w:tcBorders>
            <w:gridSpan w:val="2"/>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760" w:type="dxa"/>
            <w:vAlign w:val="bottom"/>
            <w:gridSpan w:val="6"/>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6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76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9</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60" w:type="dxa"/>
            <w:vAlign w:val="bottom"/>
            <w:gridSpan w:val="3"/>
          </w:tcPr>
          <w:p>
            <w:pPr>
              <w:spacing w:after="0"/>
              <w:rPr>
                <w:sz w:val="24"/>
                <w:szCs w:val="24"/>
                <w:color w:val="auto"/>
              </w:rPr>
            </w:pPr>
          </w:p>
        </w:tc>
        <w:tc>
          <w:tcPr>
            <w:tcW w:w="3760" w:type="dxa"/>
            <w:vAlign w:val="bottom"/>
            <w:gridSpan w:val="6"/>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4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820" w:type="dxa"/>
            <w:vAlign w:val="bottom"/>
            <w:gridSpan w:val="9"/>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108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tcPr>
          <w:p>
            <w:pPr>
              <w:spacing w:after="0"/>
              <w:rPr>
                <w:sz w:val="24"/>
                <w:szCs w:val="24"/>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9180" w:type="dxa"/>
            <w:vAlign w:val="bottom"/>
            <w:gridSpan w:val="14"/>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gridSpan w:val="4"/>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80" w:type="dxa"/>
            <w:vAlign w:val="bottom"/>
          </w:tcPr>
          <w:p>
            <w:pPr>
              <w:spacing w:after="0"/>
              <w:rPr>
                <w:sz w:val="24"/>
                <w:szCs w:val="24"/>
                <w:color w:val="auto"/>
              </w:rPr>
            </w:pPr>
          </w:p>
        </w:tc>
        <w:tc>
          <w:tcPr>
            <w:tcW w:w="87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780" w:type="dxa"/>
            <w:vAlign w:val="bottom"/>
            <w:gridSpan w:val="8"/>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20" w:type="dxa"/>
            <w:vAlign w:val="bottom"/>
            <w:tcBorders>
              <w:left w:val="single" w:sz="8" w:color="0000FF"/>
            </w:tcBorders>
            <w:gridSpan w:val="4"/>
            <w:shd w:val="clear" w:color="auto" w:fill="0000FF"/>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780" w:type="dxa"/>
            <w:vAlign w:val="bottom"/>
            <w:gridSpan w:val="8"/>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7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5"/>
          </w:tcPr>
          <w:p>
            <w:pPr>
              <w:spacing w:after="0"/>
              <w:rPr>
                <w:sz w:val="24"/>
                <w:szCs w:val="24"/>
                <w:color w:val="auto"/>
              </w:rPr>
            </w:pPr>
          </w:p>
        </w:tc>
        <w:tc>
          <w:tcPr>
            <w:tcW w:w="87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9220" w:type="dxa"/>
            <w:vAlign w:val="bottom"/>
            <w:gridSpan w:val="15"/>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0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8"/>
                <w:szCs w:val="18"/>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3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0" w:type="dxa"/>
            <w:vAlign w:val="bottom"/>
          </w:tcPr>
          <w:p>
            <w:pPr>
              <w:spacing w:after="0"/>
              <w:rPr>
                <w:sz w:val="1"/>
                <w:szCs w:val="1"/>
                <w:color w:val="auto"/>
              </w:rPr>
            </w:pPr>
          </w:p>
        </w:tc>
      </w:tr>
      <w:tr>
        <w:trPr>
          <w:trHeight w:val="22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0" w:type="dxa"/>
            <w:vAlign w:val="bottom"/>
          </w:tcPr>
          <w:p>
            <w:pPr>
              <w:spacing w:after="0"/>
              <w:rPr>
                <w:sz w:val="1"/>
                <w:szCs w:val="1"/>
                <w:color w:val="auto"/>
              </w:rPr>
            </w:pPr>
          </w:p>
        </w:tc>
      </w:tr>
      <w:tr>
        <w:trPr>
          <w:trHeight w:val="22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NCR Voyix common stockholders: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2"/>
        </w:trPr>
        <w:tc>
          <w:tcPr>
            <w:tcW w:w="6460" w:type="dxa"/>
            <w:vAlign w:val="bottom"/>
          </w:tcPr>
          <w:p>
            <w:pPr>
              <w:ind w:left="340"/>
              <w:spacing w:after="0" w:line="162" w:lineRule="exact"/>
              <w:rPr>
                <w:sz w:val="20"/>
                <w:szCs w:val="20"/>
                <w:color w:val="auto"/>
              </w:rPr>
            </w:pPr>
            <w:r>
              <w:rPr>
                <w:rFonts w:ascii="Times New Roman" w:cs="Times New Roman" w:eastAsia="Times New Roman" w:hAnsi="Times New Roman"/>
                <w:sz w:val="17"/>
                <w:szCs w:val="17"/>
                <w:color w:val="auto"/>
              </w:rPr>
              <w:t>Income (loss) from continuing operations attributable to NCR Voyix common</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stockholders</w:t>
            </w: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82"/>
        </w:trPr>
        <w:tc>
          <w:tcPr>
            <w:tcW w:w="6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Income (loss) from discontinued operations, net of tax attributable to NCR Voyix common</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6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(loss) attributable to NCR Voyix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share attributable to NCR Voyix common stockholders: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common share from continuing operations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34"/>
        </w:trPr>
        <w:tc>
          <w:tcPr>
            <w:tcW w:w="6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4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Currency translation adjustments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 gains (loss)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Comprehensive income (loss) attributable to NCR Voyix common</w:t>
            </w: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80" w:type="dxa"/>
            <w:vAlign w:val="bottom"/>
          </w:tcPr>
          <w:p>
            <w:pPr>
              <w:spacing w:after="0"/>
              <w:rPr>
                <w:sz w:val="14"/>
                <w:szCs w:val="14"/>
                <w:color w:val="auto"/>
              </w:rPr>
            </w:pPr>
          </w:p>
        </w:tc>
        <w:tc>
          <w:tcPr>
            <w:tcW w:w="30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4"/>
                <w:szCs w:val="14"/>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60" w:type="dxa"/>
            <w:vAlign w:val="bottom"/>
          </w:tcPr>
          <w:p>
            <w:pPr>
              <w:spacing w:after="0"/>
              <w:rPr>
                <w:sz w:val="14"/>
                <w:szCs w:val="14"/>
                <w:color w:val="auto"/>
              </w:rPr>
            </w:pPr>
          </w:p>
        </w:tc>
        <w:tc>
          <w:tcPr>
            <w:tcW w:w="32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Accounts receivable, net of allowances of $17 and $21 as of September 30, 2026 and December 31, 2025, respectively</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1,076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pension cost</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3,773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370</w:t>
            </w:r>
          </w:p>
        </w:tc>
        <w:tc>
          <w:tcPr>
            <w:tcW w:w="14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Payroll and benefits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972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indemnity plan liabilities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and postemployment benefits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accruals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2,614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9)</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w w:val="97"/>
              </w:rPr>
              <w:t>Series A convertible preferred stock: par value $0.01 per share, 3.0 shares authorized, 0.2 shares issued and outstanding as of</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September 30, 2026 and December 31, 2025; redemption amount and liquidation preference of $207 as of September 30,</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NCR Voyix stockholders’ equity (deficit)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40" w:type="dxa"/>
            <w:vAlign w:val="bottom"/>
          </w:tcPr>
          <w:p>
            <w:pPr>
              <w:ind w:left="340"/>
              <w:spacing w:after="0" w:line="168" w:lineRule="exact"/>
              <w:rPr>
                <w:sz w:val="20"/>
                <w:szCs w:val="20"/>
                <w:color w:val="auto"/>
              </w:rPr>
            </w:pPr>
            <w:r>
              <w:rPr>
                <w:rFonts w:ascii="Times New Roman" w:cs="Times New Roman" w:eastAsia="Times New Roman" w:hAnsi="Times New Roman"/>
                <w:sz w:val="16"/>
                <w:szCs w:val="16"/>
                <w:color w:val="auto"/>
                <w:w w:val="99"/>
              </w:rPr>
              <w:t>Preferred stock: par value $0.01 per share, 100.0 shares authorized, no shares issued and outstanding as of September</w:t>
            </w:r>
          </w:p>
        </w:tc>
        <w:tc>
          <w:tcPr>
            <w:tcW w:w="180" w:type="dxa"/>
            <w:vAlign w:val="bottom"/>
          </w:tcPr>
          <w:p>
            <w:pPr>
              <w:spacing w:after="0"/>
              <w:rPr>
                <w:sz w:val="14"/>
                <w:szCs w:val="14"/>
                <w:color w:val="auto"/>
              </w:rPr>
            </w:pPr>
          </w:p>
        </w:tc>
        <w:tc>
          <w:tcPr>
            <w:tcW w:w="1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7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30, 2026 and December 31, 2025</w:t>
            </w:r>
          </w:p>
        </w:tc>
        <w:tc>
          <w:tcPr>
            <w:tcW w:w="1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1"/>
        </w:trPr>
        <w:tc>
          <w:tcPr>
            <w:tcW w:w="7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w w:val="97"/>
              </w:rPr>
              <w:t>Common stock: par value $0.01 per share, 500.0 shares authorized, 137.0 and 138.1 shares issued and outstanding as of</w:t>
            </w: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September 30, 2026 and December 31, 2025, respectively</w:t>
            </w: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NCR Voyix stockholders’ equity (deficit)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3,773</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80010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NCR Voyix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8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other assets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property, plant and equipment and other assets,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divestiture</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Receivables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6"/>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Current payables and accrued expenses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6"/>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Employee benefit plans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6"/>
        </w:trPr>
        <w:tc>
          <w:tcPr>
            <w:tcW w:w="7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divestiture,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Collections on purchased trade receivables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Collections on non-operating receivables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 (purchase) of intangible assets</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revolving credit facilities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 paid for Series A preferred shares dividends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payments on behalf of employees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6"/>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 obligations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2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960" w:type="dxa"/>
            <w:vAlign w:val="bottom"/>
          </w:tcPr>
          <w:p>
            <w:pPr>
              <w:spacing w:after="0"/>
              <w:rPr>
                <w:sz w:val="15"/>
                <w:szCs w:val="15"/>
                <w:color w:val="auto"/>
              </w:rPr>
            </w:pPr>
          </w:p>
        </w:tc>
        <w:tc>
          <w:tcPr>
            <w:tcW w:w="1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
        </w:trPr>
        <w:tc>
          <w:tcPr>
            <w:tcW w:w="3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948</w:t>
            </w:r>
          </w:p>
        </w:tc>
        <w:tc>
          <w:tcPr>
            <w:tcW w:w="0" w:type="dxa"/>
            <w:vAlign w:val="bottom"/>
          </w:tcPr>
          <w:p>
            <w:pPr>
              <w:spacing w:after="0"/>
              <w:rPr>
                <w:sz w:val="1"/>
                <w:szCs w:val="1"/>
                <w:color w:val="auto"/>
              </w:rPr>
            </w:pPr>
          </w:p>
        </w:tc>
      </w:tr>
      <w:tr>
        <w:trPr>
          <w:trHeight w:val="18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85"/>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7"/>
              </w:rPr>
              <w:t>(9)</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7"/>
              </w:rPr>
              <w:t>(9)</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5"/>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4"/>
              </w:rPr>
              <w:t>(11)</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5"/>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7"/>
              </w:rPr>
              <w:t>(8)</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1"/>
        </w:trPr>
        <w:tc>
          <w:tcPr>
            <w:tcW w:w="98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
        </w:trPr>
        <w:tc>
          <w:tcPr>
            <w:tcW w:w="980" w:type="dxa"/>
            <w:vAlign w:val="bottom"/>
          </w:tcPr>
          <w:p>
            <w:pPr>
              <w:spacing w:after="0"/>
              <w:rPr>
                <w:sz w:val="6"/>
                <w:szCs w:val="6"/>
                <w:color w:val="auto"/>
              </w:rPr>
            </w:pPr>
          </w:p>
        </w:tc>
        <w:tc>
          <w:tcPr>
            <w:tcW w:w="2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w:t>
            </w:r>
          </w:p>
        </w:tc>
        <w:tc>
          <w:tcPr>
            <w:tcW w:w="0" w:type="dxa"/>
            <w:vAlign w:val="bottom"/>
          </w:tcPr>
          <w:p>
            <w:pPr>
              <w:spacing w:after="0"/>
              <w:rPr>
                <w:sz w:val="1"/>
                <w:szCs w:val="1"/>
                <w:color w:val="auto"/>
              </w:rPr>
            </w:pPr>
          </w:p>
        </w:tc>
      </w:tr>
      <w:tr>
        <w:trPr>
          <w:trHeight w:val="18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5"/>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Spin-Off of NCR Atleos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4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867</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4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Index to Financial Statements and Supplemental Data</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 Basis of Presentation and Summary of Significant Accounting Policies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2. Discontinued Operations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3. Goodwill and Purchased Intangible Assets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4. Segment Information and Concentrations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5. Debt Obligations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6. Income Taxes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7. Stock Compensation Plans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8. Employee Benefit Plans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9. Commitments and Contingencies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10. Series A Convertible Preferred Stock</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11. Earnings Per Share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12. Derivatives and Hedging Instruments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13. Fair Value of Assets and Liabilities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14. Accumulated Other Comprehensive Income (Loss) (AOCI)</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15.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 AND SUMMARY OF SIGNIFICANT ACCOUNTING POLICIES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2025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2025.</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Spin-off of NCR Atleos </w:t>
      </w:r>
      <w:r>
        <w:rPr>
          <w:rFonts w:ascii="Times New Roman" w:cs="Times New Roman" w:eastAsia="Times New Roman" w:hAnsi="Times New Roman"/>
          <w:sz w:val="17"/>
          <w:szCs w:val="17"/>
          <w:color w:val="auto"/>
        </w:rPr>
        <w:t>On October 16, 2023, we completed the spin-off of our ATM-focused business, including our self-service banking, payments &amp; network,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telecommunications and technology businesses, into an independent publicly traded company, NCR Atleos Corporation and its consolidated subsidiaries (collectively hereinafter “NCR Atleos”). The spin-off of NCR Atleos (the “Spin-Off”) was effectuated through a pro rata distribution of all outstanding shares of NCR Atleos common stock to holders of our common stock as of the close of business on October 2, 2023 (the “record date”). We distributed one share of NCR Atleos common stock for every two common shares of our outstanding common stock as of the record date. Shareholders received cash in lieu of fractional shares of NCR Atleos common stock. The Spin-Off is expected to qualify as a tax-free distribution for U.S. federal income tax purposes. The Company retains no ownership interest in NCR Atleos. The accounting requirements for reporting the Spin-Off of NCR Atleos as a discontinued operation were met when the separation was completed. Accordingly, the financial results for NCR Atleos are presented as net income (loss) from discontinued operations, net of tax on the Condensed Consolidated Statements of Operations. Refer to Note 2, “Discontinued Operations” for additional information.</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entered into various agreements with NCR Atleos to effectuate the Spin-Off, and to provide a framework for the relationship between the Company and NCR Atleos after the Spin-Off. Such agreements include the separation and distribution agreement, as well as the following ongoing agreements: a tax matters agreement, employee matters agreement, patent and technology cross-license agreement, trademark license and use agreement, master services agreement and various other transaction agreements. While many of the performance obligations of the Company and NCR Atleos have been satisfied or have otherwise expired, we continue to provide certain limited services to NCR Atleos and receive certain limited services from NCR Atleos pursuant to the terms of the master services agreement.</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Sale of Digital Banking </w:t>
      </w:r>
      <w:r>
        <w:rPr>
          <w:rFonts w:ascii="Times New Roman" w:cs="Times New Roman" w:eastAsia="Times New Roman" w:hAnsi="Times New Roman"/>
          <w:sz w:val="17"/>
          <w:szCs w:val="17"/>
          <w:color w:val="auto"/>
        </w:rPr>
        <w:t>On September 30, 2024, the Company completed the sale of its Digital Banking segment businesses (the “Digital Banking Sale”)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September 30, 2026. The accounting requirements for reporting the Digital Banking Sale as a discontinued operation were met when the definitive agreement was signed.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Transition of Hardware Business to ODM Model </w:t>
      </w:r>
      <w:r>
        <w:rPr>
          <w:rFonts w:ascii="Times New Roman" w:cs="Times New Roman" w:eastAsia="Times New Roman" w:hAnsi="Times New Roman"/>
          <w:sz w:val="17"/>
          <w:szCs w:val="17"/>
          <w:color w:val="auto"/>
        </w:rPr>
        <w:t>In August 2024, the Company entered into a commercial agreement with Ennoconn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(“Ennoconn”) to transition its self-checkout and point-of-sale hardware business to an outsourced design and manufacturing model, including the sale of certain related assets (the “Hardware Business Transition”). Under the agreement, beginning April 1, 2026, Ennoconn is primarily responsible for hardware sold to the Company’s customers, including the design, manufacture, warranty, supply, and direct shipment of self-checkout and point-of-sale hardware. The Company continues to provide its point-of-sale and self-checkout software, as well as key support and maintenance services. Effective April 1, 2026, the Company acts as an agent in the sale of hardware under its commercial arrangement with Ennoconn. The Company determined that it does not control the hardware before it is transferred to the customer and therefore acts as an agent in the transaction. Accordingly, under ASC 606, revenue is recognized on a net basis in an amount equal to the commission or fee the Company expects to receive for arranging for the hardware to be provided to the customer. Revenue is recognized when control of the hardware transfers to the customer, generally upon shipment or delivery, and is presented within Service revenue.</w:t>
      </w:r>
    </w:p>
    <w:p>
      <w:pPr>
        <w:spacing w:after="0" w:line="204"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During the three and nine months ended September 30, 2026, the Company sold inventory to Ennoconn as part of the Hardware Business Transition and recorded no loss and a loss of $15 million, respectively, in Other income (expense), net in the Condensed Consolidated Statements of Operations. Under ASC 610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 the inventory sale resulted in the recognition of a receivable within Prepaid and other current assets in the Condensed Consolidated Balance Sheets, with subsequent cash collections reflected as investing cash inflows in the Condensed Consolidated Statements of Cash Flows.</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accordance with GAAP requires management to make estimates and judgments that affect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the disclosure of contingent assets and liabilities at the date of the financial statements and revenue and expenses during the period reported.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spacing w:after="0" w:line="200" w:lineRule="exact"/>
        <w:rPr>
          <w:sz w:val="20"/>
          <w:szCs w:val="20"/>
          <w:color w:val="auto"/>
        </w:rPr>
      </w:pP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Evaluation of Subsequent Events </w:t>
      </w:r>
      <w:r>
        <w:rPr>
          <w:rFonts w:ascii="Times New Roman" w:cs="Times New Roman" w:eastAsia="Times New Roman" w:hAnsi="Times New Roman"/>
          <w:sz w:val="17"/>
          <w:szCs w:val="17"/>
          <w:color w:val="auto"/>
        </w:rPr>
        <w:t>The Company evaluated subsequent events through the date that our Condensed Consolidated Financial Statements were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Other than the items discussed within the Notes to the Condensed Consolidated Financial Statements, no matters were identified that required adjustment to the Condensed Consolidated Financial Statements or additional disclosure.</w:t>
      </w:r>
    </w:p>
    <w:p>
      <w:pPr>
        <w:spacing w:after="0" w:line="1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Reclassifications </w:t>
      </w:r>
      <w:r>
        <w:rPr>
          <w:rFonts w:ascii="Times New Roman" w:cs="Times New Roman" w:eastAsia="Times New Roman" w:hAnsi="Times New Roman"/>
          <w:sz w:val="17"/>
          <w:szCs w:val="17"/>
          <w:color w:val="auto"/>
        </w:rPr>
        <w:t>Certain prior-period amounts have been reclassified in the accompanying Condensed Consolidated Financial Statements and Notes thereto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to conform to the current period presentation. Reclassifications had no effect on prior year net income or stockholders’ equity.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Cyber ransomware incident </w:t>
      </w:r>
      <w:r>
        <w:rPr>
          <w:rFonts w:ascii="Times New Roman" w:cs="Times New Roman" w:eastAsia="Times New Roman" w:hAnsi="Times New Roman"/>
          <w:sz w:val="17"/>
          <w:szCs w:val="17"/>
          <w:color w:val="auto"/>
        </w:rPr>
        <w:t>In April 2023, the Company determined that a single data center outage was caused by a cyber ransomware incident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this incident, the Company has incurred a cumulative $47 million of expenses as of September 30, 2026. The incident impacted operations for some customers and only with respect to specific Aloha cloud-based services and Counterpoint and did not impact any financial reporting systems. The Company has recovered $37 million as of September 30, 2026. While the Company may incur additional costs and expenses in the future, the Company does not anticipate that future expenses or costs incurred will have a material adverse effect on our business, operations or financial condition.</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ACH Disbursements </w:t>
      </w:r>
      <w:r>
        <w:rPr>
          <w:rFonts w:ascii="Times New Roman" w:cs="Times New Roman" w:eastAsia="Times New Roman" w:hAnsi="Times New Roman"/>
          <w:sz w:val="17"/>
          <w:szCs w:val="17"/>
          <w:color w:val="auto"/>
        </w:rPr>
        <w:t>In February 2024, the Company identified fraudulent automated clearing house (“ACH”) disbursements from a Company bank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cumulative amount of these disbursements totaled $34 million. As of September 30, 2026, the Company has recovered approximately $16 million of fraudulent disbursements from the Company’s banks.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Repurchases of Common Stock </w:t>
      </w:r>
      <w:r>
        <w:rPr>
          <w:rFonts w:ascii="Times New Roman" w:cs="Times New Roman" w:eastAsia="Times New Roman" w:hAnsi="Times New Roman"/>
          <w:sz w:val="17"/>
          <w:szCs w:val="17"/>
          <w:color w:val="auto"/>
        </w:rPr>
        <w:t>In May 2025, the Board approved an amended and restated share repurchase program (the “Repurchase Program”), with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expiration from the date of authorization, that provided for a total aggregate repurchase authority of $200 million, to repurchase shares of the Company’s common stock and Series A preferred stock. Taking into account prior repurchases under the Repurchase Program, on February 12, 2026, the Board amended the Repurchase Program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add an incremental $178 million of repurchase authority under the program, which brought the total remaining aggregate repurchase authority under the program at the time to $300 million. During the nine months ended September 30, 2026, the Company repurchased $28 million of common stock under the Repurchase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Cash, Cash Equivalents, and Restricted Cash </w:t>
      </w:r>
      <w:r>
        <w:rPr>
          <w:rFonts w:ascii="Times New Roman" w:cs="Times New Roman" w:eastAsia="Times New Roman" w:hAnsi="Times New Roman"/>
          <w:sz w:val="17"/>
          <w:szCs w:val="17"/>
          <w:color w:val="auto"/>
        </w:rPr>
        <w:t>The reconciliation of cash, cash equivalents and restricted cash in the Condensed Consolidated Statements of</w:t>
      </w:r>
    </w:p>
    <w:p>
      <w:pPr>
        <w:spacing w:after="0"/>
        <w:rPr>
          <w:sz w:val="20"/>
          <w:szCs w:val="20"/>
          <w:color w:val="auto"/>
        </w:rPr>
      </w:pPr>
      <w:r>
        <w:rPr>
          <w:rFonts w:ascii="Times New Roman" w:cs="Times New Roman" w:eastAsia="Times New Roman" w:hAnsi="Times New Roman"/>
          <w:sz w:val="17"/>
          <w:szCs w:val="17"/>
          <w:color w:val="auto"/>
        </w:rPr>
        <w:t>Cash Flows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r>
      <w:tr>
        <w:trPr>
          <w:trHeight w:val="23"/>
        </w:trPr>
        <w:tc>
          <w:tcPr>
            <w:tcW w:w="50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Balance Sheet Location</w:t>
            </w:r>
          </w:p>
        </w:tc>
        <w:tc>
          <w:tcPr>
            <w:tcW w:w="32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33"/>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 term restricted cash</w:t>
            </w:r>
          </w:p>
        </w:tc>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Restricted cash, current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 term restricted cash</w:t>
            </w:r>
          </w:p>
        </w:tc>
        <w:tc>
          <w:tcPr>
            <w:tcW w:w="3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3"/>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included in settlement processing assets</w:t>
            </w:r>
          </w:p>
        </w:tc>
        <w:tc>
          <w:tcPr>
            <w:tcW w:w="34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Restricted cash, current</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3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Supplemental Cash Flow Information </w:t>
      </w:r>
      <w:r>
        <w:rPr>
          <w:rFonts w:ascii="Times New Roman" w:cs="Times New Roman" w:eastAsia="Times New Roman" w:hAnsi="Times New Roman"/>
          <w:sz w:val="17"/>
          <w:szCs w:val="17"/>
          <w:color w:val="auto"/>
        </w:rPr>
        <w:t>During the nine months ended September 30, 2026, the Company sold $127 million of inventory to Ennoconn as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Hardware Business Transition, recorded net receivables of $112 million and recorded a loss of $15 million from the sale. Cash collected on the net receivables during the nine months ended September 30, 2026 was $90 million as well as an additional $5 million in value-added tax recoveries, of which the total cash collected is reflected within “Collections on non-operating receivables” in the Condensed Consolidated Statements of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Contract Assets and Liabilities </w:t>
      </w:r>
      <w:r>
        <w:rPr>
          <w:rFonts w:ascii="Times New Roman" w:cs="Times New Roman" w:eastAsia="Times New Roman" w:hAnsi="Times New Roman"/>
          <w:sz w:val="17"/>
          <w:szCs w:val="17"/>
          <w:color w:val="auto"/>
        </w:rPr>
        <w:t>The following table presents the net contract liability balances as of September 30, 2026 and December 31, 2025, respectively.</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Location in the Condensed</w:t>
            </w:r>
          </w:p>
        </w:tc>
        <w:tc>
          <w:tcPr>
            <w:tcW w:w="160" w:type="dxa"/>
            <w:vAlign w:val="bottom"/>
          </w:tcPr>
          <w:p>
            <w:pPr>
              <w:spacing w:after="0"/>
              <w:rPr>
                <w:sz w:val="13"/>
                <w:szCs w:val="13"/>
                <w:color w:val="auto"/>
              </w:rPr>
            </w:pPr>
          </w:p>
        </w:tc>
        <w:tc>
          <w:tcPr>
            <w:tcW w:w="14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Consolidated 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contract liabilities</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Contract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portion of contract liabilities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recognized $148 million in revenue that was included in contract liabilities as of December 31, 2025.</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Remaining Performance Obligations </w:t>
      </w:r>
      <w:r>
        <w:rPr>
          <w:rFonts w:ascii="Times New Roman" w:cs="Times New Roman" w:eastAsia="Times New Roman" w:hAnsi="Times New Roman"/>
          <w:sz w:val="17"/>
          <w:szCs w:val="17"/>
          <w:color w:val="auto"/>
        </w:rPr>
        <w:t>Remaining performance obligations represent the revenue that has not yet been recognized, which includes deferred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and non-cancellable amounts that will be invoiced and recognized in future periods. As of September 30, 2026, the aggregate amount of the remaining performance obligations was approximately $1.2 billion. The Company expects to recognize revenue on more than three-quarters of the remaining performance obligations over the next 12 months, with the remainder recognized thereafter.</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Capitalized Software </w:t>
      </w:r>
      <w:r>
        <w:rPr>
          <w:rFonts w:ascii="Times New Roman" w:cs="Times New Roman" w:eastAsia="Times New Roman" w:hAnsi="Times New Roman"/>
          <w:sz w:val="17"/>
          <w:szCs w:val="17"/>
          <w:color w:val="auto"/>
        </w:rPr>
        <w:t>Capitalized development costs for internal-use software and software that will be sold, leased or otherwise marketed were $309 million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$302 million as of September 30, 2026 and December 31, 2025, respectively, presented within Other assets on the Condensed Consolidated Balance Sheets. Capital expenditures related to capitalized software were $104 million and $100 million during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Issued But Not Yet Adopted</w:t>
      </w:r>
    </w:p>
    <w:p>
      <w:pPr>
        <w:spacing w:after="0" w:line="20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7"/>
          <w:szCs w:val="17"/>
          <w:color w:val="auto"/>
        </w:rPr>
        <w:t>In April 2026, the FASB issued ASU 2026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01, </w:t>
      </w:r>
      <w:r>
        <w:rPr>
          <w:rFonts w:ascii="Times New Roman" w:cs="Times New Roman" w:eastAsia="Times New Roman" w:hAnsi="Times New Roman"/>
          <w:sz w:val="17"/>
          <w:szCs w:val="17"/>
          <w:i w:val="1"/>
          <w:iCs w:val="1"/>
          <w:color w:val="auto"/>
        </w:rPr>
        <w:t>Initial Measurement of Paid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in</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Kind Dividends on Equity</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Classified Preferred Stock</w:t>
      </w:r>
      <w:r>
        <w:rPr>
          <w:rFonts w:ascii="Times New Roman" w:cs="Times New Roman" w:eastAsia="Times New Roman" w:hAnsi="Times New Roman"/>
          <w:sz w:val="17"/>
          <w:szCs w:val="17"/>
          <w:color w:val="auto"/>
        </w:rPr>
        <w:t>. This ASU requires that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kind dividends on equity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classified preferred stock be initially measured based on the dividend rate stated in the applicable preferred stock agreement and is intended to reduce diversity in practice in measuring such dividends. The guidance is effective for annual reporting periods beginning after December 15, 2026, including interim periods within those annual reporting periods, with early adoption permitted. The Company is currently evaluating the impact of this guidance on its consolidated financial statements.</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2025-12,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The amendments clarify, correct errors in and make improvements to various Topics within the FASB Accounting Standards Codification. The amendments are effective for annual reporting periods beginning after December 15, 2026, including interim periods within those annual reporting periods, with early adoption permitted. The Company is currently evaluating the impact that adoption of the amendments may have on its consolidated financial statements and related disclosures.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 Scope Improvements.</w:t>
      </w:r>
      <w:r>
        <w:rPr>
          <w:rFonts w:ascii="Times New Roman" w:cs="Times New Roman" w:eastAsia="Times New Roman" w:hAnsi="Times New Roman"/>
          <w:sz w:val="17"/>
          <w:szCs w:val="17"/>
          <w:color w:val="auto"/>
        </w:rPr>
        <w:t xml:space="preserve"> The update improves the guidance in Topic 270, </w:t>
      </w:r>
      <w:r>
        <w:rPr>
          <w:rFonts w:ascii="Times New Roman" w:cs="Times New Roman" w:eastAsia="Times New Roman" w:hAnsi="Times New Roman"/>
          <w:sz w:val="17"/>
          <w:szCs w:val="17"/>
          <w:i w:val="1"/>
          <w:iCs w:val="1"/>
          <w:color w:val="auto"/>
        </w:rPr>
        <w:t>Interim Reporting</w:t>
      </w:r>
      <w:r>
        <w:rPr>
          <w:rFonts w:ascii="Times New Roman" w:cs="Times New Roman" w:eastAsia="Times New Roman" w:hAnsi="Times New Roman"/>
          <w:sz w:val="17"/>
          <w:szCs w:val="17"/>
          <w:color w:val="auto"/>
        </w:rPr>
        <w:t>, by improving the navigability of the required interim disclosures and clarifying when that guidance is applicable. The amendments in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currently evaluating the impact that the adoption of this guidance may have on its consolidated financial statements and related disclosures.</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(Topic 350):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for Internal-Use Software. </w:t>
      </w:r>
      <w:r>
        <w:rPr>
          <w:rFonts w:ascii="Times New Roman" w:cs="Times New Roman" w:eastAsia="Times New Roman" w:hAnsi="Times New Roman"/>
          <w:sz w:val="17"/>
          <w:szCs w:val="17"/>
          <w:color w:val="auto"/>
        </w:rPr>
        <w:t>This update revises the recognition guidance for internal-use software by eliminating the previous model based on software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stages and introducing a principles-based approach. Under the new guidance, capitalization begins when the Company has authorized and committed to funding the project, and it is probable that the software will be completed and used for its intended purpose. This ASU is effective for interim periods and fiscal years beginning after December 15, 2027. The amendment may be applied on a prospective, retrospective or modified retrospective basis. The Company is currently evaluating the provisions of the amendments and the impact on its future consolidated financial statements.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(Topic 220):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of Income Statement Expenses </w:t>
      </w:r>
      <w:r>
        <w:rPr>
          <w:rFonts w:ascii="Times New Roman" w:cs="Times New Roman" w:eastAsia="Times New Roman" w:hAnsi="Times New Roman"/>
          <w:sz w:val="17"/>
          <w:szCs w:val="17"/>
          <w:color w:val="auto"/>
        </w:rPr>
        <w:t>and ASU 2025-01,</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(Topic 220): Clarifying the Effective Date</w:t>
      </w:r>
      <w:r>
        <w:rPr>
          <w:rFonts w:ascii="Times New Roman" w:cs="Times New Roman" w:eastAsia="Times New Roman" w:hAnsi="Times New Roman"/>
          <w:sz w:val="17"/>
          <w:szCs w:val="17"/>
          <w:color w:val="auto"/>
        </w:rPr>
        <w:t>. This guidance requires additional disclosure of certain amounts included in the expense captions presented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of Operations as well as disclosures about selling expenses. This ASU is effective on a prospective basis, with the option for retrospective application, for annual periods beginning after December 15, 2026 and interim reporting periods within annual reporting periods beginning after December 15, 2027. The Company plans to adopt ASU 2025-01 and conform to the applicable disclosure when it becomes effective for the Annual Report on Form 10-K for the year ending December 31, 2027. Other than the new disclosure requirements, the Company does not expect that the adoption of this guidance will have a significant impact on its consolidated financial statements.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DISCONTINUED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Spin-Off of NCR Atleos</w:t>
      </w:r>
    </w:p>
    <w:p>
      <w:pPr>
        <w:spacing w:after="0" w:line="3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As of March 31, 2025, all historical results of NCR Atleos have been presented as discontinued operations. There was no income or loss from discontinued operations related to the Spin-Off of NCR Atleos for the three and nine months ended September 30, 2025. No net cash was provided by or used in operating activities for discontinued operations related to the Spin-Off of NCR Atleos for the nine months ended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Japan Bank Technology Solutions Sale</w:t>
      </w:r>
    </w:p>
    <w:p>
      <w:pPr>
        <w:spacing w:after="0" w:line="2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September 30, 2026, the Company completed the sale of its bank technology solutions business in Japan. The sale of the Japan bank technology solutions business is a continuation of the Company’s strategic shift to exit the banking industry and focus on its core retail and restaurant segments. The Company recognized a pre-tax gain of approximately $32 million, which was recognized in Net income (loss) from discontinued operations.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financial results for the Japan bank technology solutions business for the three and nine months ended September 30, 2026 and 2025 are presented as net income (loss) from discontinued operations, net of tax on the Condensed Consolidated Statements of Operations. The Company’s presentation of discontinued operations excludes general corporate overhead costs that did not meet the requirements to be presented as discontinued operations. Income (loss) from discontinued operations, net of tax, related to the Japan bank technology solutions business was income of $22 million and $21 million for the three and nine months ended September 30, 2026, respectively, and income of $1 million and $3 million for the three and nine months ended September 30, 2025, respectively. Net liabilities of discontinued operations related to the Japan bank technology solutions business were $3 million as of December 31, 2025. Net cash provided by or used in operating activities of discontinued operations related to the Japan bank technology solutions business was $1 million of net cash used in operating activities and $4 million of net cash provided by operating activities for the nine months ended September 30, 2026 and 2025,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Matters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loss of $12 million and $11 million for the three and nine months ended September 30, 2026, respectively, and loss of $2 million and no income or loss for the three and nine months ended September 30, 2025, respectively. Net cash provided by or used in operating activities of discontinued operations related to environmental obligations was $7 million and $17 million of net cash used in operating activities for the nine months ended September 30, 2026 and 2025, respectively. Refer to Note 9,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GOODWILL AND PURCHASED INTANGIBLE ASSETS</w:t>
      </w:r>
    </w:p>
    <w:p>
      <w:pPr>
        <w:spacing w:after="0" w:line="2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Goodwill by Segment </w:t>
      </w:r>
      <w:r>
        <w:rPr>
          <w:rFonts w:ascii="Times New Roman" w:cs="Times New Roman" w:eastAsia="Times New Roman" w:hAnsi="Times New Roman"/>
          <w:sz w:val="17"/>
          <w:szCs w:val="17"/>
          <w:color w:val="auto"/>
        </w:rPr>
        <w:t>The carrying amounts of goodwill by segment as of September 30, 2026 and December 31, 2025, respectively, are included in the 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Foreign currency fluctuations are included within other adjustments.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80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1"/>
                <w:szCs w:val="11"/>
                <w:color w:val="auto"/>
              </w:rPr>
            </w:pPr>
          </w:p>
        </w:tc>
        <w:tc>
          <w:tcPr>
            <w:tcW w:w="1000" w:type="dxa"/>
            <w:vAlign w:val="bottom"/>
          </w:tcPr>
          <w:p>
            <w:pPr>
              <w:jc w:val="right"/>
              <w:ind w:right="101"/>
              <w:spacing w:after="0" w:line="13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1"/>
                <w:szCs w:val="11"/>
                <w:color w:val="auto"/>
              </w:rPr>
            </w:pPr>
          </w:p>
        </w:tc>
        <w:tc>
          <w:tcPr>
            <w:tcW w:w="1020" w:type="dxa"/>
            <w:vAlign w:val="bottom"/>
          </w:tcPr>
          <w:p>
            <w:pPr>
              <w:jc w:val="right"/>
              <w:ind w:right="121"/>
              <w:spacing w:after="0" w:line="13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6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1,049</w:t>
            </w:r>
          </w:p>
        </w:tc>
        <w:tc>
          <w:tcPr>
            <w:tcW w:w="0" w:type="dxa"/>
            <w:vAlign w:val="bottom"/>
          </w:tcPr>
          <w:p>
            <w:pPr>
              <w:spacing w:after="0"/>
              <w:rPr>
                <w:sz w:val="1"/>
                <w:szCs w:val="1"/>
                <w:color w:val="auto"/>
              </w:rPr>
            </w:pPr>
          </w:p>
        </w:tc>
      </w:tr>
      <w:tr>
        <w:trPr>
          <w:trHeight w:val="23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Restaurants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470</w:t>
            </w:r>
          </w:p>
        </w:tc>
        <w:tc>
          <w:tcPr>
            <w:tcW w:w="0" w:type="dxa"/>
            <w:vAlign w:val="bottom"/>
          </w:tcPr>
          <w:p>
            <w:pPr>
              <w:spacing w:after="0"/>
              <w:rPr>
                <w:sz w:val="1"/>
                <w:szCs w:val="1"/>
                <w:color w:val="auto"/>
              </w:rPr>
            </w:pPr>
          </w:p>
        </w:tc>
      </w:tr>
      <w:tr>
        <w:trPr>
          <w:trHeight w:val="24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Identifiable Intangible Assets </w:t>
      </w:r>
      <w:r>
        <w:rPr>
          <w:rFonts w:ascii="Times New Roman" w:cs="Times New Roman" w:eastAsia="Times New Roman" w:hAnsi="Times New Roman"/>
          <w:sz w:val="17"/>
          <w:szCs w:val="17"/>
          <w:color w:val="auto"/>
        </w:rPr>
        <w:t>The Company’s purchased intangible assets, reported in Intangibles, net in the Condensed Consolidated Balance Sheets,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specifically identified when acquired, and are deemed to have finite lives. The gross carrying amount and accumulated amortization for the Company’s identifiable intangible assets were as set forth in the table below as of September 30, 2026 and December 31, 2025, respectively.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00" w:type="dxa"/>
            <w:vAlign w:val="bottom"/>
            <w:vMerge w:val="restart"/>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12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116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jc w:val="center"/>
              <w:ind w:left="482"/>
              <w:spacing w:after="0" w:line="143"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21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60" w:type="dxa"/>
            <w:vAlign w:val="bottom"/>
          </w:tcPr>
          <w:p>
            <w:pPr>
              <w:spacing w:after="0"/>
              <w:rPr>
                <w:sz w:val="16"/>
                <w:szCs w:val="16"/>
                <w:color w:val="auto"/>
              </w:rPr>
            </w:pP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Identifiable intangible assets</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Reseller &amp; customer relationships</w:t>
            </w:r>
          </w:p>
        </w:tc>
        <w:tc>
          <w:tcPr>
            <w:tcW w:w="2100" w:type="dxa"/>
            <w:vAlign w:val="bottom"/>
          </w:tcPr>
          <w:p>
            <w:pPr>
              <w:jc w:val="center"/>
              <w:ind w:left="462"/>
              <w:spacing w:after="0"/>
              <w:rPr>
                <w:sz w:val="20"/>
                <w:szCs w:val="20"/>
                <w:color w:val="auto"/>
              </w:rPr>
            </w:pPr>
            <w:r>
              <w:rPr>
                <w:rFonts w:ascii="Times New Roman" w:cs="Times New Roman" w:eastAsia="Times New Roman" w:hAnsi="Times New Roman"/>
                <w:sz w:val="17"/>
                <w:szCs w:val="17"/>
                <w:color w:val="auto"/>
              </w:rPr>
              <w:t>1 - 20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322</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0"/>
                <w:szCs w:val="20"/>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322</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10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7"/>
                <w:szCs w:val="17"/>
                <w:color w:val="auto"/>
              </w:rPr>
              <w:t>2 - 8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Tradenames</w:t>
            </w:r>
          </w:p>
        </w:tc>
        <w:tc>
          <w:tcPr>
            <w:tcW w:w="2100" w:type="dxa"/>
            <w:vAlign w:val="bottom"/>
            <w:tcBorders>
              <w:bottom w:val="single" w:sz="8" w:color="CCEEFF"/>
            </w:tcBorders>
          </w:tcPr>
          <w:p>
            <w:pPr>
              <w:jc w:val="center"/>
              <w:ind w:left="462"/>
              <w:spacing w:after="0"/>
              <w:rPr>
                <w:sz w:val="20"/>
                <w:szCs w:val="20"/>
                <w:color w:val="auto"/>
              </w:rPr>
            </w:pPr>
            <w:r>
              <w:rPr>
                <w:rFonts w:ascii="Times New Roman" w:cs="Times New Roman" w:eastAsia="Times New Roman" w:hAnsi="Times New Roman"/>
                <w:sz w:val="17"/>
                <w:szCs w:val="17"/>
                <w:color w:val="auto"/>
              </w:rPr>
              <w:t>1 - 10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identifiable intangible assets</w:t>
            </w:r>
          </w:p>
        </w:tc>
        <w:tc>
          <w:tcPr>
            <w:tcW w:w="2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0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Amortization expense related to identifiable intangible assets for the following periods is: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gridSpan w:val="9"/>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8"/>
                <w:szCs w:val="18"/>
                <w:color w:val="auto"/>
              </w:rPr>
            </w:pPr>
          </w:p>
        </w:tc>
        <w:tc>
          <w:tcPr>
            <w:tcW w:w="2380" w:type="dxa"/>
            <w:vAlign w:val="bottom"/>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48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gridSpan w:val="2"/>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16"/>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98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aggregate amortization expense for identifiable intangible assets for the following periods is: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280" w:type="dxa"/>
            <w:vAlign w:val="bottom"/>
          </w:tcPr>
          <w:p>
            <w:pPr>
              <w:spacing w:after="0"/>
              <w:rPr>
                <w:sz w:val="15"/>
                <w:szCs w:val="15"/>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2031</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SEGMENT INFORMATION AND CONCENTRATIONS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the Digital Banking Sale and the Spin-Off, as described in Note 1, “Basis of Presentation and Summary of Significant Accounting Policies”,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manages and reports the following two segments:</w:t>
      </w:r>
    </w:p>
    <w:p>
      <w:pPr>
        <w:spacing w:after="0" w:line="225" w:lineRule="exact"/>
        <w:rPr>
          <w:sz w:val="20"/>
          <w:szCs w:val="20"/>
          <w:color w:val="auto"/>
        </w:rPr>
      </w:pPr>
    </w:p>
    <w:p>
      <w:pPr>
        <w:jc w:val="both"/>
        <w:ind w:left="620" w:hanging="305"/>
        <w:spacing w:after="0" w:line="262" w:lineRule="auto"/>
        <w:tabs>
          <w:tab w:leader="none" w:pos="616"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serves enterprise and mid-market retailers primarily in the convenience &amp; fuel, grocery, drug &amp; mass merchandise,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department &amp; specialty retail industry segments. We offer an end-to-end suite of unified commerce solutions, spanning across software, payments, installation and maintenance services, managed and professional services and hardware. These offerings are purpose-built to enable retailers to deliver the seamless experiences that customers have come to expect. Our SaaS solutions, powered by the Voyix Commerce Platform, include, among others, point-of-sale (“POS”), self-checkout (“SCO”), consumer marketing and loyalty, inventory and supply chain management, fraud and loss prevention, and consumer engagement.</w:t>
      </w:r>
    </w:p>
    <w:p>
      <w:pPr>
        <w:spacing w:after="0" w:line="197" w:lineRule="exact"/>
        <w:rPr>
          <w:rFonts w:ascii="Times New Roman" w:cs="Times New Roman" w:eastAsia="Times New Roman" w:hAnsi="Times New Roman"/>
          <w:sz w:val="17"/>
          <w:szCs w:val="17"/>
          <w:i w:val="1"/>
          <w:iCs w:val="1"/>
          <w:color w:val="auto"/>
        </w:rPr>
      </w:pPr>
    </w:p>
    <w:p>
      <w:pPr>
        <w:jc w:val="both"/>
        <w:ind w:left="620" w:hanging="305"/>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serves restaurants and food service establishments of varying size, format and complexity, including,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 quick-service, table-service, and fast-casual restaurants. We offer an end-to-end suite of unified commerce solutions, spanning across software, payments, installation and maintenance services, managed and professional services, and hardware. Our SaaS solutions for restaurants, powered by the Voyix Commerce Platform, include, among others, POS, consumer marketing and loyalty, inventory and kitchen management ordering, pay-at-table, menu management, and labor management.</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either of our two reportable segments along with certain non-strategic businesses comprising immaterial operating segments, as well as commercial agreements with NCR Atleos. As disclosed in Note 2, “Discontinued Operations”, the Japan bank technology solutions business sale qualified as a discontinued operation during the nine months ended September 30, 2026, and all revenue and expenses directly related to the discontinued operation historically reported within Corporate and Other are presented in net income (loss) from discontinued operations, net of tax on the Condensed Consolidated Statements of Operations for all periods presented.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These segments represent components of the Company for which separate financial information is available that is utilized on a regular basis by the chief operating decision maker (“CODM”), the CEO. The CODM considers the budget-to-actual and forecast-to-actual variances for revenue and segment Adjusted EBITDA on a periodic basis in assessing segment performance and in allocating the Company’s resources. 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in nature, so are excluded from the Adjusted EBITDA metric utilized by our CODM in evaluating segment performance and are separately delineated to reconcile back to total reported GAAP net income (loss) from continuing operations attributable to the Company.</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three months ended September 30, 2026:</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220</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b w:val="1"/>
                <w:bCs w:val="1"/>
                <w:color w:val="auto"/>
              </w:rPr>
              <w:t>Other segment items</w:t>
            </w:r>
            <w:r>
              <w:rPr>
                <w:rFonts w:ascii="Times New Roman" w:cs="Times New Roman" w:eastAsia="Times New Roman" w:hAnsi="Times New Roman"/>
                <w:sz w:val="22"/>
                <w:szCs w:val="22"/>
                <w:b w:val="1"/>
                <w:bCs w:val="1"/>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three months ended September 30, 2025:</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nine months ended September 30, 2026: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735</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223</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b w:val="1"/>
                <w:bCs w:val="1"/>
                <w:color w:val="auto"/>
              </w:rPr>
              <w:t>Other segment items</w:t>
            </w:r>
            <w:r>
              <w:rPr>
                <w:rFonts w:ascii="Times New Roman" w:cs="Times New Roman" w:eastAsia="Times New Roman" w:hAnsi="Times New Roman"/>
                <w:sz w:val="22"/>
                <w:szCs w:val="22"/>
                <w:b w:val="1"/>
                <w:bCs w:val="1"/>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nine months ended September 30,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Other segment items primarily include selling, general and administrative expenses and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Segment Adjusted EBITDA to Net income (loss) from continuing operations attributable to NCR Voyix: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1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 income and expenses not allocated to reportable segments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20"/>
              <w:spacing w:after="0" w:line="233" w:lineRule="exact"/>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disposal of businesses</w:t>
            </w: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20"/>
              <w:spacing w:after="0" w:line="233" w:lineRule="exact"/>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3"/>
        </w:trPr>
        <w:tc>
          <w:tcPr>
            <w:tcW w:w="6560" w:type="dxa"/>
            <w:vAlign w:val="bottom"/>
          </w:tcPr>
          <w:p>
            <w:pPr>
              <w:ind w:left="220"/>
              <w:spacing w:after="0" w:line="233" w:lineRule="exact"/>
              <w:rPr>
                <w:sz w:val="20"/>
                <w:szCs w:val="20"/>
                <w:color w:val="auto"/>
              </w:rPr>
            </w:pPr>
            <w:r>
              <w:rPr>
                <w:rFonts w:ascii="Times New Roman" w:cs="Times New Roman" w:eastAsia="Times New Roman" w:hAnsi="Times New Roman"/>
                <w:sz w:val="17"/>
                <w:szCs w:val="17"/>
                <w:color w:val="auto"/>
              </w:rPr>
              <w:t>Litigation costs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1"/>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Represents integration, severance, and other exit and disposal costs which are considered non-operational in nature.</w:t>
      </w:r>
    </w:p>
    <w:p>
      <w:pPr>
        <w:jc w:val="both"/>
        <w:spacing w:after="0" w:line="214"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professional fees related to strategic initiatives which are considered non-operational in nature, as well as certain costs incurred related to the Hardware Business Transition.</w:t>
      </w:r>
    </w:p>
    <w:p>
      <w:pPr>
        <w:spacing w:after="0"/>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costs related to a certain litigation matter, net of expected indemnity recoveries from NCR Atleos, as discussed in Note 9, “Commitments and Contingencies”.</w:t>
      </w:r>
    </w:p>
    <w:p>
      <w:pPr>
        <w:spacing w:after="0" w:line="1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7"/>
          <w:szCs w:val="17"/>
          <w:color w:val="auto"/>
        </w:rPr>
        <w:t>Revenue is attributed to the geographic area to which the product is delivered or in which the service is provided. The following table presents revenue by geographic area for the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30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60" w:type="dxa"/>
            <w:vAlign w:val="bottom"/>
            <w:vMerge w:val="continue"/>
          </w:tcPr>
          <w:p>
            <w:pPr>
              <w:spacing w:after="0"/>
              <w:rPr>
                <w:sz w:val="15"/>
                <w:szCs w:val="15"/>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2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Americas (excluding United States)</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1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recurring revenue and all other products and services revenue that is recognized at a point in time for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30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60" w:type="dxa"/>
            <w:vAlign w:val="bottom"/>
            <w:vMerge w:val="continue"/>
          </w:tcPr>
          <w:p>
            <w:pPr>
              <w:spacing w:after="0"/>
              <w:rPr>
                <w:sz w:val="15"/>
                <w:szCs w:val="15"/>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1,282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386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1,668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payments revenue, and certain professional services arrangements, as well as term-based software license arrangements that include customer termination rights.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 OBLIGATIONS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short-term borrowings and long-term debt as of September 30, 2026 and December 31, 2025, respectively:</w:t>
      </w:r>
    </w:p>
    <w:p>
      <w:pPr>
        <w:spacing w:after="0" w:line="149"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9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89"/>
        </w:trPr>
        <w:tc>
          <w:tcPr>
            <w:tcW w:w="44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0" w:type="dxa"/>
            <w:vAlign w:val="bottom"/>
          </w:tcPr>
          <w:p>
            <w:pPr>
              <w:spacing w:after="0"/>
              <w:rPr>
                <w:sz w:val="1"/>
                <w:szCs w:val="1"/>
                <w:color w:val="auto"/>
              </w:rPr>
            </w:pPr>
          </w:p>
        </w:tc>
      </w:tr>
      <w:tr>
        <w:trPr>
          <w:trHeight w:val="21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20" w:type="dxa"/>
            <w:vAlign w:val="bottom"/>
            <w:tcBorders>
              <w:bottom w:val="single" w:sz="8" w:color="CCEEFF"/>
            </w:tcBorders>
          </w:tcPr>
          <w:p>
            <w:pPr>
              <w:spacing w:after="0" w:line="233" w:lineRule="exact"/>
              <w:rPr>
                <w:sz w:val="20"/>
                <w:szCs w:val="20"/>
                <w:color w:val="auto"/>
              </w:rPr>
            </w:pPr>
            <w:r>
              <w:rPr>
                <w:rFonts w:ascii="Times New Roman" w:cs="Times New Roman" w:eastAsia="Times New Roman" w:hAnsi="Times New Roman"/>
                <w:sz w:val="17"/>
                <w:szCs w:val="17"/>
                <w:color w:val="auto"/>
              </w:rPr>
              <w:t>Current portion of Senior Secured Credit Facility</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260"/>
              <w:spacing w:after="0" w:line="233" w:lineRule="exact"/>
              <w:rPr>
                <w:sz w:val="20"/>
                <w:szCs w:val="20"/>
                <w:color w:val="auto"/>
              </w:rPr>
            </w:pPr>
            <w:r>
              <w:rPr>
                <w:rFonts w:ascii="Times New Roman" w:cs="Times New Roman" w:eastAsia="Times New Roman" w:hAnsi="Times New Roman"/>
                <w:sz w:val="17"/>
                <w:szCs w:val="17"/>
                <w:color w:val="auto"/>
              </w:rPr>
              <w:t>Term loan facility</w:t>
            </w:r>
            <w:r>
              <w:rPr>
                <w:rFonts w:ascii="Times New Roman" w:cs="Times New Roman" w:eastAsia="Times New Roman" w:hAnsi="Times New Roman"/>
                <w:sz w:val="22"/>
                <w:szCs w:val="22"/>
                <w:color w:val="auto"/>
                <w:vertAlign w:val="superscript"/>
              </w:rPr>
              <w:t>(1)</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60"/>
              <w:spacing w:after="0" w:line="233"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Senior notes: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5.000% Senior Notes due 2028</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5.125% Senior Notes due 2029</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5.250% Senior Notes due 2030</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financing fees</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long-term debt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1,101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Interest rates are weighted-average interest rates as of September 30, 2026 and December 31, 2025.</w:t>
      </w:r>
    </w:p>
    <w:p>
      <w:pPr>
        <w:spacing w:after="0" w:line="2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Senior Secured Credit Facility </w:t>
      </w:r>
      <w:r>
        <w:rPr>
          <w:rFonts w:ascii="Times New Roman" w:cs="Times New Roman" w:eastAsia="Times New Roman" w:hAnsi="Times New Roman"/>
          <w:sz w:val="17"/>
          <w:szCs w:val="17"/>
          <w:color w:val="auto"/>
        </w:rPr>
        <w:t>On October 16, 2023, the Company entered into a senior secured credit agreement with Bank of America, N.A., as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(in such capacity, the “Administrative Agent”), the lenders party thereto, and certain of the Company’s subsidiaries, as foreign borrowers. This credit agreement provides for senior secured credit facilities in an aggregate principal amount of $700 million,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five-year term loan “A” facility in an aggregate principal amount of $200 million (the “Term Loan A Facility,” and the loans thereunder, the “Term A Loans” and, the Term Loan A Facility, together with the Revolving Credit Facility, the “Senior Secured Credit Facilities”).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Revolving Loans bear interest based on the Secured Overnight Financing Rate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Revolving Loans and ranging from 1.25% to 2.25% per annum for Base Rate-based Revolving Loans, in each case, depending on the Company’s consolidated leverage ratio. The Revolving Credit Facility is not subject to amortization and will mature on the fifth anniversary of the Closing Date.</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obligations under the Revolving Credit Facility are guaranteed by certain of the Company’s material subsidiaries (the “Guarantors”). The obligations under the Revolving Credit Facility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Revolving Credit Facility contains customary representations and warranties, affirmative covenants and negative covenants. The negative covenants limit the Company’s and its subsidiaries’ ability, subject to customary exceptions and permitted baskets, to, among other things, incur indebtedness, create liens on the Company’s or its subsidiaries’ assets, engage in fundamental changes, make investments, sell or otherwise dispose of assets, engage in sale-leaseback transactions, make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Revolving Credit Facility also contains a financial covenant that does not permit the Company to allow its consolidated leverage ratio to exceed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Senior Unsecured Notes </w:t>
      </w:r>
      <w:r>
        <w:rPr>
          <w:rFonts w:ascii="Times New Roman" w:cs="Times New Roman" w:eastAsia="Times New Roman" w:hAnsi="Times New Roman"/>
          <w:sz w:val="17"/>
          <w:szCs w:val="17"/>
          <w:color w:val="auto"/>
        </w:rPr>
        <w:t>On August 20, 2020, the Company issued $650 million aggregate principal amount of 5.000% senior unsecured notes due in 2028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“5.000% Notes”) and $450 million aggregate principal amount of 5.250% senior unsecured notes due in 2030 (the “5.250% Notes”). Interest is payable on each of the 5.000% and 5.250% Notes semi-annually and in arrears on April 1 and October 1. The 5.000% and 5.250% Notes were sold at 100% of the principal amount and will mature on October 1, 2028 and October 1, 2030, respectively.</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has the option to redeem the 5.000% Notes, in whole or in part, at any time, at a redemption price of 101.250% and 100% during the 12-month periods commencing on October 1, 2024 and 2025 and thereafter, respectively, plus accrued and unpaid interest to the redemption date.</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April 6, 2021, the Company issued $1.2 billion aggregate principal amount of 5.125% senior unsecured notes due 2029 (the “5.125% Notes”). Interest is payable on the 5.125% Notes semi-annually and in arrears on April 15 and October 15 of each year. The 5.125% Notes will mature on April 15, 2029.</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the option to redeem the 5.125% Notes, in whole or in part, on or after April 15, 2024, at a redemption price of 102.563%, 101.281% and 100% during the 12-month periods commencing on or after April 15, 2024, 2025 and 2026 and thereafter, respectively, plus accrued and unpaid interest to the redemption date.</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 offers and the final settlement, the Company purchased approximately $398 million aggregate principal amount of the 5.250% Notes and $797 million aggregate principal amount of the 5.125% Notes.</w:t>
      </w:r>
    </w:p>
    <w:p>
      <w:pPr>
        <w:spacing w:after="0" w:line="193"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also include customary covenants typical of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yield indentures, including negative covenants that, subject to customary exceptions and permitted baskets, limit the Company’s and its restricted subsidiaries’ ability to incur additional indebtedness, create liens, sell or otherwise dispose of assets, engage in certain fundamental corporate changes or changes to lines of business, make certain investments or material acquisitions, engage in sale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leaseback or hedging transactions, repurchase common stock, pay dividends or make similar distributions of capital stock, repay certain indebtedness, engage in certain affiliate transactions and enter into agreements that restrict the ability of subsidiaries to create liens, pay dividends or make loan repayments. If the senior unsecured notes are assigned an “investment grade” rating by Moody’s or S&amp;P and no default has occurred or is continuing, certain covenants will be terminated.</w:t>
      </w:r>
    </w:p>
    <w:p>
      <w:pPr>
        <w:spacing w:after="0" w:line="200" w:lineRule="exact"/>
        <w:rPr>
          <w:sz w:val="20"/>
          <w:szCs w:val="20"/>
          <w:color w:val="auto"/>
        </w:rPr>
      </w:pPr>
    </w:p>
    <w:p>
      <w:pPr>
        <w:spacing w:after="0" w:line="2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Fair Value of Debt </w:t>
      </w:r>
      <w:r>
        <w:rPr>
          <w:rFonts w:ascii="Times New Roman" w:cs="Times New Roman" w:eastAsia="Times New Roman" w:hAnsi="Times New Roman"/>
          <w:sz w:val="17"/>
          <w:szCs w:val="17"/>
          <w:color w:val="auto"/>
        </w:rPr>
        <w:t>The Company utilized Level 2 inputs, as defined in the fair value hierarchy, to measure the fair value of the long-term debt, which,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2026 and December 31, 2025 was $1.05 billion and $1.09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Management’s fair value estimates were based on quoted prices for recent trades of the Company’s long-term debt, quoted prices for similar instruments, and inquiries with certain investment communities.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INCOME TAXES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expense from continuing operations was $7 million for the three months ended September 30, 2026 compared to an income tax benefit of $6 million for the three months ended September 30, 2025. The increase in income tax expense was primarily driven by higher income from continuing operations before taxes, partially offset by favorable changes in discrete tax expenses and benefits for the three months ended September 30, 2026 compared to the prior year.</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Income tax benefit was $33 million for the nine months ended September 30, 2026 compared to an income tax benefit of $17 million for the nine months ended September 30, 2025. The increase in the income tax benefit was primarily driven by changes in the geographic earnings mix, partially offset by a lower loss from continuing operations before taxes for the nine months ended September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 COMPENSATION PLANS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2026, the Company’s stock-based compensation consisted of restricted stock units and the employee stock purchase plan. Stock-based compensation expense for the following periods was:</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6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800" w:type="dxa"/>
            <w:vAlign w:val="bottom"/>
            <w:vMerge w:val="continue"/>
          </w:tcPr>
          <w:p>
            <w:pPr>
              <w:spacing w:after="0"/>
              <w:rPr>
                <w:sz w:val="15"/>
                <w:szCs w:val="15"/>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3"/>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0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Pr>
          <w:p>
            <w:pPr>
              <w:spacing w:after="0"/>
              <w:rPr>
                <w:sz w:val="20"/>
                <w:szCs w:val="20"/>
                <w:color w:val="auto"/>
              </w:rPr>
            </w:pPr>
          </w:p>
        </w:tc>
        <w:tc>
          <w:tcPr>
            <w:tcW w:w="36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(net of tax)</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is recognized in the Condensed Consolidated Financial Statements based upon fair value.</w:t>
      </w:r>
    </w:p>
    <w:p>
      <w:pPr>
        <w:spacing w:after="0" w:line="24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March 2, 2026, the Company granted market-based restricted stock units vesting on March 2, 2029. The fair value of the awards was determined based on the grant date fair value and will be recognized over the requisite service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significant assumptions used in determining the fair value of the market-based restricted stock units granted on March 2, 2026: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33"/>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3.46 %</w:t>
            </w: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44.25 %</w:t>
            </w:r>
          </w:p>
        </w:tc>
      </w:tr>
    </w:tbl>
    <w:p>
      <w:pPr>
        <w:spacing w:after="0" w:line="3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three-year U.S. Treasury yield curve in effect at the time of the grant.</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2026, the total unrecognized compensation cost of $70 million related to unvested restricted stock grants is expected to be recognized over a weighted average period of approximately 2.1 years under the endpoint method. As of September 30, 2026, all stock option grants have vested.</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Employee Stock Purchase Plan </w:t>
      </w:r>
      <w:r>
        <w:rPr>
          <w:rFonts w:ascii="Times New Roman" w:cs="Times New Roman" w:eastAsia="Times New Roman" w:hAnsi="Times New Roman"/>
          <w:sz w:val="17"/>
          <w:szCs w:val="17"/>
          <w:color w:val="auto"/>
        </w:rPr>
        <w:t>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the three months ended September 30, 2026, employees purchased 0.4 million shares, at a discounted price of $5.81. For the three months ended September 30, 2025, employees purchased 0.2 million shares, at a discounted price of $10.71.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Employer Contributions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Pension </w:t>
      </w:r>
      <w:r>
        <w:rPr>
          <w:rFonts w:ascii="Times New Roman" w:cs="Times New Roman" w:eastAsia="Times New Roman" w:hAnsi="Times New Roman"/>
          <w:sz w:val="17"/>
          <w:szCs w:val="17"/>
          <w:color w:val="auto"/>
        </w:rPr>
        <w:t>For the three and nine months ended September 30, 2026, the Company contributed $4 million and $9 million to its international pension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Company anticipates contributing an additional $3 million to its international pension plans for a total of $12 million in 2026.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spacing w:after="0" w:line="19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Postemployment </w:t>
      </w:r>
      <w:r>
        <w:rPr>
          <w:rFonts w:ascii="Times New Roman" w:cs="Times New Roman" w:eastAsia="Times New Roman" w:hAnsi="Times New Roman"/>
          <w:sz w:val="17"/>
          <w:szCs w:val="17"/>
          <w:color w:val="auto"/>
        </w:rPr>
        <w:t>For the three and nine months ended September 30, 2026, the Company contributed $4 million and $22 million to its postemployment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Company anticipates contributing an additional $4 million to its postemployment plan for a total of $26 million in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as well as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costs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Condensed Consolidated Financial Statements or will not have a material adverse effect on our consolidated results of operations, capital expenditures, competitive position, financial condition or cash flows.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Litigation </w:t>
      </w:r>
      <w:r>
        <w:rPr>
          <w:rFonts w:ascii="Times New Roman" w:cs="Times New Roman" w:eastAsia="Times New Roman" w:hAnsi="Times New Roman"/>
          <w:sz w:val="17"/>
          <w:szCs w:val="17"/>
          <w:color w:val="auto"/>
        </w:rPr>
        <w:t>In November 2015, several participants and beneficiaries in five “nonqualified” deferred compensation retirement plans sponsored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(collectively, the “Plans”) filed a putative class action lawsuit against the Company and other named defendants. The plaintiffs alleged, among other things, that the Company breached the terms of the Plan agreements when, upon termination of the Plans, the Company paid lump sum payments based on mortality tables and actuarial calculations. In September 2017, the court certified a class.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(the “Requested Relief Order”). On April 16, 2024, the Company filed its position on the Requested Relief Order.</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June 10, 2024, the court ruled against the Company’s position to the Requested Relief Order, entered a final judgment against the Company, and ordered the Company to calculate the “benefits due” to the Plan participants, including pre-judgment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interest, based on the sum that would have been sufficient to allow each participant to purchase a replacement annuity using discount rates prescribed by the Pension Benefit Guaranty Corporation in effect as of the February 25, 2013 termination date.</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2, 2024, the Company filed a notice of appeal and a $45 million supersedeas bond to stay execution pending appeal. The appellate court heard oral arguments on August 12, 2025, and on August 26, 2025, the appellate court affirmed the decision of the district court. The Company’s petition for rehearing en banc was denied. In February 2026, the matter was remanded back to the district court for further proceedings to finalize the amount owed to plaintiffs. Prior to resolution by the court, in April 2026, the parties reached a settlement to resolve all issues associated with damages owed to plan participants, interest, and attorney’s fees, for a payment of $48 million. In exchange the Company will receive a class-wide release of claims following final approval by the court. On July 2, 2026, the court granted preliminary approval of the settlement, and on July 16, 2026, the Company funded an escrow account for payment of settlement amounts to plan participants. Final approval of this settlement is expected after a final fairness hearing currently scheduled for November 2026. NCR Atleos contributed 50% of the settlement amount pursuant to its indemnity obligation. The Company also intends to seek reimbursement of the settlement amount from its insurance carriers to the extent of its coverage under applicable fiduciary liability insurance policies, however there can be no guarantee as to the extent of any insurance recovery.</w:t>
      </w:r>
    </w:p>
    <w:p>
      <w:pPr>
        <w:spacing w:after="0" w:line="200" w:lineRule="exact"/>
        <w:rPr>
          <w:sz w:val="20"/>
          <w:szCs w:val="20"/>
          <w:color w:val="auto"/>
        </w:rPr>
      </w:pP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Environmental Matters </w:t>
      </w:r>
      <w:r>
        <w:rPr>
          <w:rFonts w:ascii="Times New Roman" w:cs="Times New Roman" w:eastAsia="Times New Roman" w:hAnsi="Times New Roman"/>
          <w:sz w:val="17"/>
          <w:szCs w:val="17"/>
          <w:color w:val="auto"/>
        </w:rPr>
        <w:t>The Company’s facilities and operations are subject to a wide range of environmental protection laws, and the Company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retains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and Fox River matters discussed below, we currently do not anticipate material expenses and liabilities from these environmental matters.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Fox River </w:t>
      </w:r>
      <w:r>
        <w:rPr>
          <w:rFonts w:ascii="Times New Roman" w:cs="Times New Roman" w:eastAsia="Times New Roman" w:hAnsi="Times New Roman"/>
          <w:sz w:val="17"/>
          <w:szCs w:val="17"/>
          <w:color w:val="auto"/>
        </w:rPr>
        <w:t>The Company was one of eight entities that was formally notified by governmental and other entities that it was a PRP for environmental claims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cost of the Fox River remediation has been shared with three parties (a previous party, API,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September 30, 2026 and December 31, 2025, the Funding Agreement Receivable was approximately $54 million and was included in Other assets in the Consolidated Balance Sheets. The timing of collection of sums related to the receivable is uncertain and is subject and pursuant to the terms of the Funding Agreement and related agreements. This receivable is not taken into account in calculating the Company’s Fox River remaining reserve.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if any. The Divestiture Agreement governs certain aspects of AT&amp;T’s divestiture of the Company and of what was then known as Lucent Technologies.</w:t>
      </w:r>
    </w:p>
    <w:p>
      <w:pPr>
        <w:spacing w:after="0" w:line="19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As of September 30, 2026, we have no remaining environmental remedial obligations for the Fox River matter. However, the final reconciliation of the Funding Agreement Receivable and the Divestiture Agreement Offsets could result in additional expenditures and liabilities for the Company that could be material. As of September 30, 2026, we have no remaining liability for environmental remedial obligations for the Fox River matter. As of September 30, 2026 and December 31, 2025, the total reserve related to the final reconciliation with indemnitors under the Divestiture Agreement was approximately $23 million.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Kalamazoo River </w:t>
      </w:r>
      <w:r>
        <w:rPr>
          <w:rFonts w:ascii="Times New Roman" w:cs="Times New Roman" w:eastAsia="Times New Roman" w:hAnsi="Times New Roman"/>
          <w:sz w:val="17"/>
          <w:szCs w:val="17"/>
          <w:color w:val="auto"/>
        </w:rPr>
        <w:t>In November 2010, the United States Environmental Protection Agency (“USEPA”) issued a “general notice letter” to the Company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Allied Paper, Inc./Portage Creek/Kalamazoo River Superfund Site (“Kalamazoo River site”) in Michigan. USEPA asserted that the site is contaminated by various substances, primarily PCBs, as a result of discharges by various paper mills located along the river. USEPA did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2010, the Company, along with two other defendants, was sued in federal court by three Georgia-Pacific (“GP”) affiliate corporations in a private-party contribution and cost recovery action for alleged pollution at the Kalamazoo River site.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In a ruling following a second trial on the allocation of liability issued on March 29, 2018, the court fixed the past cost amount at approximately $50 million (plus interest to be determined) and the Company and GP were each assigned a 40% share of those costs, and the other two companies were assigned 15% and 5% as their allocations. The court entered final judgment in the case on June 19, 2018, in which it indicated that it would not allocate future costs, but would enter a declaratory judgment that the four companies together had responsibility for future costs, in amounts and shares to be determined.</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July 2018, the Company appealed to the United States Court of Appeals for the Sixth Circuit both the 2013 court decision and the 2018 court decision on various legal grounds. The Company filed a bond to stay execution of the judgment pending appeal and execution of the judgment was stayed until the Company filed its dismissal of the appeal on December 31, 2020 pursuant to the Consent Decree noted below.</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pendency of the Sixth Circuit stay, the Company negotiated a settlement of the Kalamazoo River matter with the USEPA and other government agencies having oversight over the river.</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December 5, 2019, the Company entered into a Consent Decree with the USEPA and other government agencies having oversight over the Kalamazoo River and the District Court having jurisdiction over this matter approved the Consent Decree later that month. The Consent Decree requires the Company to pay GP a 40% share of past costs, to pay the USEPA and state agencies their past and future administrative costs, and take responsibility for the remediation of a portion, but not all, of the Kalamazoo River. The Consent Decree further required the Company to dismiss the pending Sixth Circuit appeal. The Consent Decree provides the Company protection from other potentially responsible parties, including GP, seeking contribution for their costs associated with the clean-up anywhere on the Kalamazoo River, thereby resolving the allocation of future costs left unresolved by prior litigation.</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believes it has meritorious claims against BAT under the Cost Sharing Agreement, discussed above, for the Kalamazoo River remediation expenses as a so-called “future site.” To date, BAT disputes that the Kalamazoo River is a “future site.” In February 2023, the Company filed an action against BAT in the Southern District of New York seeking a declaration that the Kalamazoo River is indeed a “future site” under the Cost Sharing Agreement. In June 2023, BAT filed an answer asserting counterclaims in the proceedings. On September 14, 2024, the Court entered an opinion stating that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Kalamazoo River is a “future site” within the meaning of the Cost Sharing Agreement. The case remains pending with respect to BAT’s remaining counterclaims and affirmative defenses.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In March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On August 18, 2025, the USEPA approved the work plan “with modifications” and the Company responded to those modifications as requested by the USEPA. On November 3, 2025, the EPA reviewed the Company’s responses to the modifications and gave final approval to the work plan. In January 2026, a second updated engineering estimate was completed to address scope adjustments of the approved work plan and current market and river conditions. This updated engineering estimate necessitated another increase to the Kalamazoo reserve as of December 31, 2025.</w:t>
      </w:r>
    </w:p>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September 30, 2026 and December 31, 2025, the total reserve for the Kalamazoo River was $109 million and $111 million, respectively. The reserve is reported on a basis that is net of expected contributions from the Company’s co-obligors and indemnitors. While the Company believes its co-obligors’ and indemnitors’ obligations are as previously reported, the reserves may be adjusted from time to time, including to reflect changes in our estimates of remediation costs and recoverability from co-obligors and indemnitors with respect to the Kalamazoo River.</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estimates of the costs of investigations and studies for areas of the Kalamazoo River where remedies have not yet been determined, and the reserve is informed by those estimates. The extent of the Company’s potential liability remains subject to many uncertainties, notwithstanding the Consent Decree noted above, particularly given that remedy decisions and cost estimates will not be generated until future time periods and most of the work to be performed will take place through the 2030s. Under other assumptions and estimates for possible costs of remediation, which the Company does not at this point consider to be reasonably estimable or verifiable, it is possible that the reserve the Company has taken to discontinued operations with respect to the Kalamazoo River could more than double.</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contractual threshold set forth in the 1996 Divestiture Agreement discussed above has been met for the Fox River and Kalamazoo River matters, and as a result, the Company has indemnity or reimbursement claims against AT&amp;T and Nokia. AT&amp;T is currently disputing the calculation of that threshold (not the indemnity obligation), including the application of certain offsets for net tax benefits, and AT&amp;T withheld certain of its indemnification payments in connection with the dispute (“Withheld Payments”). In February 2026, the Company filed an action for preliminary injunction against AT&amp;T in the Southern District of New York seeking an order to compel AT&amp;T’s compliance with the payment obligations under the 1996 Divestiture Agreement. On May 7, 2026, the court denied the Company's motion for preliminary injunction, but retained jurisdiction over the matter pending resolution through arbitration.</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Separately, the Company commenced a parallel arbitration against AT&amp;T for the recovery of the Withheld Payments, and AT&amp;T filed counterclaims alleging that the contractual indemnity threshold set forth in the 1996 Divestiture Agreement wasn’t yet met at the time it began making indemnity payments and disputing the calculation of the net tax benefits that was applied to its indemnity obligation payments. The Company disputes the allegations relating to the contractual indemnity threshold. On August 20, 2026, the arbitrator entered an order compelling AT&amp;T to pay the Withheld Payments and compelling AT&amp;T to timely remit payment on all future invoices. AT&amp;T has paid this amount as ordered. A hearing on AT&amp;T’s remaining counterclaims is expected to occur in the fourth quarter of 2026. The Company believes that it has substantial defenses to AT&amp;T’s claims and intends to vigorously defend this matter. However, complex arbitration is inherently uncertain, and the Company cannot predict the ultimate outcome of the matter. Although the Company does not currently believe that a loss is probable beyond amounts previously accrued, it cannot rule out the possibility that the matter could negatively impact the Company’s financial condition or cash flows.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Environmental-Related Insurance Recoveries </w:t>
      </w:r>
      <w:r>
        <w:rPr>
          <w:rFonts w:ascii="Times New Roman" w:cs="Times New Roman" w:eastAsia="Times New Roman" w:hAnsi="Times New Roman"/>
          <w:sz w:val="17"/>
          <w:szCs w:val="17"/>
          <w:color w:val="auto"/>
        </w:rPr>
        <w:t>In connection with the Fox River, Kalamazoo River and other environmental sites, through September 30, 2026,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has received a combined gross total of approximately $212 million in settlements reached with various of its insurance carriers. Some of the settlements cover other environmental sites in addition to the Fox River and Kalamazoo River and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in the future.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Environmental Remediation Estimates </w:t>
      </w:r>
      <w:r>
        <w:rPr>
          <w:rFonts w:ascii="Times New Roman" w:cs="Times New Roman" w:eastAsia="Times New Roman" w:hAnsi="Times New Roman"/>
          <w:sz w:val="17"/>
          <w:szCs w:val="17"/>
          <w:color w:val="auto"/>
        </w:rPr>
        <w:t>It is difficult to estimate the future financial impact of environmental laws, including potential liabilities.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recorded for environmental matters in the Company’s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For the Fox River and Kalamazoo River sites, as described above, assets relating to the AT&amp;T and Nokia indemnities and the BAT obligations recorded as payments are supported by contractual agreements, public filings, payment history, or other factors.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Guarantees and Product Warranties </w:t>
      </w:r>
      <w:r>
        <w:rPr>
          <w:rFonts w:ascii="Times New Roman" w:cs="Times New Roman" w:eastAsia="Times New Roman" w:hAnsi="Times New Roman"/>
          <w:sz w:val="17"/>
          <w:szCs w:val="17"/>
          <w:color w:val="auto"/>
        </w:rPr>
        <w:t>In the ordinary course of business, the Company may issue performance guarantees on behalf of its subsidiaries to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September 30, 2026 and December 31, 2025, the Company had no material obligations related to such guarantees, and therefore its Condensed Consolidated Financial Statements do not have any associated liability balance.</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19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Purchase Commitments </w:t>
      </w:r>
      <w:r>
        <w:rPr>
          <w:rFonts w:ascii="Times New Roman" w:cs="Times New Roman" w:eastAsia="Times New Roman" w:hAnsi="Times New Roman"/>
          <w:sz w:val="17"/>
          <w:szCs w:val="17"/>
          <w:color w:val="auto"/>
        </w:rPr>
        <w:t>The Company has purchase commitments for materials, supplies, services, and property, plant and equipment as part of the normal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course of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SERIES A CONVERTIBLE PREFERRED STOCK</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 During the three months ended September 30, 2026 and 2025, the Company paid cash dividends of $3 million and $3 million, respectively. During the nine months ended September 30, 2026 and 2025, the Company paid cash dividends of $9 million and $11 million, respectively.</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September 30, 2026 and December 31, 2025, the maximum number of common shares that could be required to be issued upon conversion of the outstanding shares of Series A Convertible Preferred Stock was 11.9 million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7, “Stock Compensation Plans”, for share information on the Company’s stock compensation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components of basic earnings (loss) per share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40" w:type="dxa"/>
            <w:vAlign w:val="bottom"/>
          </w:tcPr>
          <w:p>
            <w:pPr>
              <w:spacing w:after="0"/>
              <w:rPr>
                <w:sz w:val="20"/>
                <w:szCs w:val="20"/>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Income (loss) from discontinued operations, net of tax attributable to NCR Voyix common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stockholders</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 common stockholders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4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weighted average number of shares outstanding</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(loss) per share: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From continuing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40" w:type="dxa"/>
            <w:vAlign w:val="bottom"/>
          </w:tcPr>
          <w:p>
            <w:pPr>
              <w:spacing w:after="0"/>
              <w:rPr>
                <w:sz w:val="20"/>
                <w:szCs w:val="20"/>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(0.15)</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From discontinued operations</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0.07</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basic earnings per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0.15</w:t>
            </w:r>
          </w:p>
        </w:tc>
        <w:tc>
          <w:tcPr>
            <w:tcW w:w="4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(0.16)</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components of diluted earnings (loss) per share are as follows: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2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40" w:type="dxa"/>
            <w:vAlign w:val="bottom"/>
          </w:tcPr>
          <w:p>
            <w:pPr>
              <w:spacing w:after="0"/>
              <w:rPr>
                <w:sz w:val="20"/>
                <w:szCs w:val="20"/>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Income (loss) from discontinued operations, net of tax attributable to NCR Voyix common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stockholders</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 common stockholders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40" w:type="dxa"/>
            <w:vAlign w:val="bottom"/>
          </w:tcPr>
          <w:p>
            <w:pPr>
              <w:spacing w:after="0"/>
              <w:rPr>
                <w:sz w:val="19"/>
                <w:szCs w:val="19"/>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weighted average number of shares outstanding</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Dilutive effect of restricted stock units and stock options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diluted shares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From continuing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40" w:type="dxa"/>
            <w:vAlign w:val="bottom"/>
          </w:tcPr>
          <w:p>
            <w:pPr>
              <w:spacing w:after="0"/>
              <w:rPr>
                <w:sz w:val="20"/>
                <w:szCs w:val="20"/>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From discontinued operations</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diluted earnings per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0.15</w:t>
            </w:r>
          </w:p>
        </w:tc>
        <w:tc>
          <w:tcPr>
            <w:tcW w:w="40" w:type="dxa"/>
            <w:vAlign w:val="bottom"/>
          </w:tcPr>
          <w:p>
            <w:pPr>
              <w:spacing w:after="0"/>
              <w:rPr>
                <w:sz w:val="19"/>
                <w:szCs w:val="19"/>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20" w:type="dxa"/>
            <w:vAlign w:val="bottom"/>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the three months ended September 30, 2026, shares related to the as-if converted Series A Convertible Preferred Stock of 11.9 million were excluded from the diluted share count because their effect would have been anti-dilutive. Additionally, weighted average restricted stock units and stock options of 4.7 million were excluded from the diluted share count because their effect would have been anti-dilutive.</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three months ended September 30, 2025, due to the net loss from continuing operations attributable to NCR Voyix common stockholders, shares related to the as-if converted Series A Convertible Preferred Stock of 15.9 million were excluded from the diluted share count because their effect would have been anti-dilutive. Additionally, weighted average restricted stock units and stock options of 7.7 million were excluded from the diluted share count because their effect would have been anti-dilutive.</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the nine months ended September 30, 2026, shares related to the as-if converted Series A Convertible Preferred Stock of 11.9 million were excluded from the diluted share count because their effect would have been anti-dilutive. Additionally, weighted average restricted stock units and stock options of 5.5 million were excluded from the diluted share count because their effect would have been anti-dilutive.</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nine months ended September 30, 2025, due to the net loss from continuing operations attributable to NCR Voyix common stockholders, shares related to the as-if converted Series A Convertible Preferred Stock of 15.9 million were excluded from the diluted share count because their effect would have been anti-dilutive. Additionally, weighted average restricted stock units and stock options of 9.1 million were excluded from the diluted share count because their effect would have been anti-dilutive.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DERIVATIVES AND HEDGING INSTRUMENTS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is exposed to certain risks arising from both our business operations and economic conditions. We principally manage exposures to a wide variety of business and operational risk through management of core business activities.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Interest Rate Risk </w:t>
      </w:r>
      <w:r>
        <w:rPr>
          <w:rFonts w:ascii="Times New Roman" w:cs="Times New Roman" w:eastAsia="Times New Roman" w:hAnsi="Times New Roman"/>
          <w:sz w:val="17"/>
          <w:szCs w:val="17"/>
          <w:color w:val="auto"/>
        </w:rPr>
        <w:t>We manage interest rate risk by managing the amount, sources and duration of debt funding. The Company has historically used interest 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 agreements or interest rate swap contracts (“Interest Rate Derivatives”) to manage differences in the amount, timing and duration of known or expected cash payments related to our floating rate-debt agreements.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Condensed Consolidated Statements of Cash Flows.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Foreign Currency Exchange Risk </w:t>
      </w:r>
      <w:r>
        <w:rPr>
          <w:rFonts w:ascii="Times New Roman" w:cs="Times New Roman" w:eastAsia="Times New Roman" w:hAnsi="Times New Roman"/>
          <w:sz w:val="17"/>
          <w:szCs w:val="17"/>
          <w:color w:val="auto"/>
        </w:rPr>
        <w:t>A portion of our operations and revenue occur outside the United States and, as such, the Company has exposure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25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 We recognize the gains and losses on these types of hedges in earnings as exchange rates change.</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information on the location and amounts of derivative fair values in the Condensed 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344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162"/>
        </w:trPr>
        <w:tc>
          <w:tcPr>
            <w:tcW w:w="41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41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color w:val="auto"/>
        </w:rPr>
        <w:t>The effects of derivative instruments on the Condensed Consolidated Statements of Operations and Condensed Consolidated Statements of Comprehensive Income for the three and nine months ended September 30, 2026 and 2025 were as follows:</w:t>
      </w:r>
    </w:p>
    <w:p>
      <w:pPr>
        <w:spacing w:after="0" w:line="2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Amount of Gain (Loss) Recognized in the Condensed</w:t>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center"/>
              <w:ind w:left="187"/>
              <w:spacing w:after="0" w:line="155"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center"/>
              <w:ind w:right="102"/>
              <w:spacing w:after="0" w:line="155"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Borders>
              <w:bottom w:val="single" w:sz="8" w:color="auto"/>
            </w:tcBorders>
            <w:gridSpan w:val="4"/>
          </w:tcPr>
          <w:p>
            <w:pPr>
              <w:jc w:val="center"/>
              <w:ind w:left="187"/>
              <w:spacing w:after="0"/>
              <w:rPr>
                <w:sz w:val="20"/>
                <w:szCs w:val="20"/>
                <w:color w:val="auto"/>
              </w:rPr>
            </w:pPr>
            <w:r>
              <w:rPr>
                <w:rFonts w:ascii="Times New Roman" w:cs="Times New Roman" w:eastAsia="Times New Roman" w:hAnsi="Times New Roman"/>
                <w:sz w:val="14"/>
                <w:szCs w:val="14"/>
                <w:b w:val="1"/>
                <w:bCs w:val="1"/>
                <w:color w:val="auto"/>
                <w:w w:val="97"/>
              </w:rPr>
              <w:t>September 30</w:t>
            </w: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September 30</w:t>
            </w:r>
          </w:p>
        </w:tc>
        <w:tc>
          <w:tcPr>
            <w:tcW w:w="0" w:type="dxa"/>
            <w:vAlign w:val="bottom"/>
          </w:tcPr>
          <w:p>
            <w:pPr>
              <w:spacing w:after="0"/>
              <w:rPr>
                <w:sz w:val="1"/>
                <w:szCs w:val="1"/>
                <w:color w:val="auto"/>
              </w:rPr>
            </w:pPr>
          </w:p>
        </w:tc>
      </w:tr>
      <w:tr>
        <w:trPr>
          <w:trHeight w:val="13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880" w:type="dxa"/>
            <w:vAlign w:val="bottom"/>
            <w:gridSpan w:val="2"/>
          </w:tcPr>
          <w:p>
            <w:pPr>
              <w:jc w:val="center"/>
              <w:ind w:left="285"/>
              <w:spacing w:after="0" w:line="130" w:lineRule="exact"/>
              <w:rPr>
                <w:sz w:val="20"/>
                <w:szCs w:val="20"/>
                <w:color w:val="auto"/>
              </w:rPr>
            </w:pPr>
            <w:r>
              <w:rPr>
                <w:rFonts w:ascii="Times New Roman" w:cs="Times New Roman" w:eastAsia="Times New Roman" w:hAnsi="Times New Roman"/>
                <w:sz w:val="14"/>
                <w:szCs w:val="14"/>
                <w:b w:val="1"/>
                <w:bCs w:val="1"/>
                <w:color w:val="auto"/>
                <w:w w:val="98"/>
              </w:rPr>
              <w:t>Location of Gain (Loss) Recognized in the Condensed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vMerge w:val="continue"/>
          </w:tcPr>
          <w:p>
            <w:pPr>
              <w:spacing w:after="0"/>
              <w:rPr>
                <w:sz w:val="16"/>
                <w:szCs w:val="16"/>
                <w:color w:val="auto"/>
              </w:rPr>
            </w:pPr>
          </w:p>
        </w:tc>
        <w:tc>
          <w:tcPr>
            <w:tcW w:w="3880" w:type="dxa"/>
            <w:vAlign w:val="bottom"/>
            <w:tcBorders>
              <w:bottom w:val="single" w:sz="8" w:color="CCEEFF"/>
            </w:tcBorders>
            <w:gridSpan w:val="2"/>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and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September 30, 2026 and December 31, 2025, we did not have any major concentration of credit risk related to financial instruments.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OF ASSETS AND LIABILITIES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Assets and liabilities recorded at fair value on a recurring basis as of September 30, 2026 are set forth in the table as follows. Assets and liabilities recorded at fair value on a recurring basis as of December 31, 2025 were zero.</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ind w:left="205"/>
              <w:spacing w:after="0" w:line="137"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1"/>
        </w:trPr>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185"/>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18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left="204"/>
              <w:spacing w:after="0" w:line="143"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00" w:type="dxa"/>
            <w:vAlign w:val="bottom"/>
            <w:tcBorders>
              <w:bottom w:val="single" w:sz="8" w:color="CCEEFF"/>
            </w:tcBorders>
          </w:tcPr>
          <w:p>
            <w:pPr>
              <w:ind w:left="20"/>
              <w:spacing w:after="0" w:line="233" w:lineRule="exact"/>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(1)</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2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46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640" w:type="dxa"/>
            <w:vAlign w:val="bottom"/>
            <w:shd w:val="clear" w:color="auto" w:fill="CCEEFF"/>
          </w:tcPr>
          <w:p>
            <w:pPr>
              <w:jc w:val="right"/>
              <w:ind w:right="146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3"/>
          <w:szCs w:val="13"/>
          <w:color w:val="auto"/>
        </w:rPr>
        <w:t>Included in Other current liabilities in the Condensed Consolidated Balance Sheets.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Foreign Exchange Contracts </w:t>
      </w:r>
      <w:r>
        <w:rPr>
          <w:rFonts w:ascii="Times New Roman" w:cs="Times New Roman" w:eastAsia="Times New Roman" w:hAnsi="Times New Roman"/>
          <w:sz w:val="17"/>
          <w:szCs w:val="17"/>
          <w:color w:val="auto"/>
        </w:rPr>
        <w:t>As a result of our global operating activities, we are exposed to risks from changes in foreign currency exchange rates, which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September 30, 2026, we determined that the credit valuation adjustments are not significant to the overall valuation of our derivatives and therefore, the valuations are classified in Level 2 of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at Fair Value on a Non-recurring Basis</w:t>
      </w:r>
    </w:p>
    <w:p>
      <w:pPr>
        <w:spacing w:after="0" w:line="2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ACCUMULATED OTHER COMPREHENSIVE INCOME (LOSS)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Accumulated Other Comprehensive Income (Loss) (“AOCI”) by Component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Changes in Employee</w:t>
            </w:r>
          </w:p>
        </w:tc>
        <w:tc>
          <w:tcPr>
            <w:tcW w:w="12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w:t>
            </w:r>
          </w:p>
        </w:tc>
        <w:tc>
          <w:tcPr>
            <w:tcW w:w="102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Benefit Plans</w:t>
            </w: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Effective Cash Flow Hedges</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(445)</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(439)</w:t>
            </w:r>
          </w:p>
        </w:tc>
        <w:tc>
          <w:tcPr>
            <w:tcW w:w="0" w:type="dxa"/>
            <w:vAlign w:val="bottom"/>
          </w:tcPr>
          <w:p>
            <w:pPr>
              <w:spacing w:after="0"/>
              <w:rPr>
                <w:sz w:val="1"/>
                <w:szCs w:val="1"/>
                <w:color w:val="auto"/>
              </w:rPr>
            </w:pPr>
          </w:p>
        </w:tc>
      </w:tr>
      <w:tr>
        <w:trPr>
          <w:trHeight w:val="233"/>
        </w:trPr>
        <w:tc>
          <w:tcPr>
            <w:tcW w:w="5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3"/>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 Out of AOCI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reclassifications out of AOCI during the three and nine months ended September 30, 2026 or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SUPPLEMENTAL FINANCIAL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accounts receivable are summarized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412</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6"/>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allowance for credit losses as of September 30, 2026 and December 31, 2025 was $17 million and $21 million, respectively. We continue to evaluate our reserves in light of the age and quality of our outstanding accounts receivable as well as risks to specific industries or countries and adjust the reserves accordingly. The impact to our allowance for credit losses was a benefit of $2 million and expense of $2 million for the three and nine months ended September 30, 2026, respectively, and expense of $1 million and $5 million for the three and nine months ended September 30, 2025, respectively. The Company recorded write-offs against the reserve of $1 million and $6 million for the three and nine months ended September 30, 2026, respectively, and $7 million and $10 million for the three and nine months ended September 30, 2025,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inventory are summarized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 and raw materials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parts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MD&amp;A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2025 (the “2025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discussion within MD&amp;A is organized as follows:</w:t>
      </w:r>
    </w:p>
    <w:p>
      <w:pPr>
        <w:spacing w:after="0" w:line="230" w:lineRule="exact"/>
        <w:rPr>
          <w:sz w:val="20"/>
          <w:szCs w:val="20"/>
          <w:color w:val="auto"/>
        </w:rPr>
      </w:pPr>
    </w:p>
    <w:p>
      <w:pPr>
        <w:ind w:left="620" w:hanging="305"/>
        <w:spacing w:after="0" w:line="29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contains background information on the Company, a summary of significant events for the quarter, and information regarding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strategic initiatives and trends in order to provide context for management’s discussion and analysis of our financial condition and results of operations.</w:t>
      </w:r>
    </w:p>
    <w:p>
      <w:pPr>
        <w:spacing w:after="0" w:line="169" w:lineRule="exact"/>
        <w:rPr>
          <w:rFonts w:ascii="Times New Roman" w:cs="Times New Roman" w:eastAsia="Times New Roman" w:hAnsi="Times New Roman"/>
          <w:sz w:val="17"/>
          <w:szCs w:val="17"/>
          <w:color w:val="auto"/>
        </w:rPr>
      </w:pPr>
    </w:p>
    <w:p>
      <w:pPr>
        <w:jc w:val="both"/>
        <w:ind w:left="620" w:hanging="305"/>
        <w:spacing w:after="0" w:line="27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Condensed Consolidated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Operations by comparing the results for the three and nine months ended September 30, 2026 to the results for the three and nine months ended September 30, 2025.</w:t>
      </w:r>
    </w:p>
    <w:p>
      <w:pPr>
        <w:spacing w:after="0" w:line="186" w:lineRule="exact"/>
        <w:rPr>
          <w:rFonts w:ascii="Times New Roman" w:cs="Times New Roman" w:eastAsia="Times New Roman" w:hAnsi="Times New Roman"/>
          <w:sz w:val="17"/>
          <w:szCs w:val="17"/>
          <w:color w:val="auto"/>
        </w:rPr>
      </w:pPr>
    </w:p>
    <w:p>
      <w:pPr>
        <w:ind w:left="620" w:hanging="305"/>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Liquidity and capital resources. </w:t>
      </w:r>
      <w:r>
        <w:rPr>
          <w:rFonts w:ascii="Times New Roman" w:cs="Times New Roman" w:eastAsia="Times New Roman" w:hAnsi="Times New Roman"/>
          <w:sz w:val="17"/>
          <w:szCs w:val="17"/>
          <w:color w:val="auto"/>
        </w:rPr>
        <w:t>This section provides an analysis of our cash flows and a discussion of our contractual obligations at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OVERVIEW</w:t>
      </w:r>
    </w:p>
    <w:p>
      <w:pPr>
        <w:spacing w:after="0" w:line="2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NCR Voyix is a global platform-powered leader in unified commerce for shopping and dining, empowering our customers to deliver quality experiences to consumers through our cloud-based platform, microservices-based applications and comprehensive service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Completion of NCR Atleos Spin-Off Transaction</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October 16, 2023, the Company completed the spin-off (“Spin-Off”) of its ATM-focused businesses, including our self-service banking, payments &amp; network, and telecommunications and technology businesses, into an independent, publicly traded company, NCR Atleos. Accordingly, the historical financial results of NCR Atleos are reflected as discontinued operations in the Company’s consolidated financial statements. Refer to Note 2, “Discontinued Operations”, in the Notes to Consolidated Financial Statements in Item 1 of this Report, for additional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Digital Banking Business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September 30, 2024, the Company completed the sale of its Digital Banking segment businesses (the “Digital Banking Sale”) to an affiliate of The Veritas Capital Fund VIII, L.P. (the “Buyer”). The historical financial results of the Digital Banking segment businesses are reflected as discontinued operations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of Hardware Business to ODM Model</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August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designs, manufactures, warrants, supplies, and ships self-checkout and point-of-sale hardware directly to the Company’s customers and the Company sells hardware to its customers as a sales agent for Ennoconn and continues to provide its point-of-sale and self-checkout software as well as key support and maintenance services. During the nine months ended September 30, 2026, the Company sold inventory to Ennoconn as part of the Hardware Business Transition, and beginning on April 1, 2026, the Company began recording commission revenue from point-of-sale and self-checkout hardware sales as an agent for Ennoconn on a net basis, excluding the costs paid to Ennoconn.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Segments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Spin-Off and Digital Banking Sale, we now manage and operate in two reportable segments: Retail and Restaurants.</w:t>
      </w:r>
    </w:p>
    <w:p>
      <w:pPr>
        <w:spacing w:after="0" w:line="243" w:lineRule="exact"/>
        <w:rPr>
          <w:sz w:val="20"/>
          <w:szCs w:val="20"/>
          <w:color w:val="auto"/>
        </w:rPr>
      </w:pPr>
    </w:p>
    <w:p>
      <w:pPr>
        <w:jc w:val="both"/>
        <w:ind w:left="620" w:hanging="305"/>
        <w:spacing w:after="0" w:line="262" w:lineRule="auto"/>
        <w:tabs>
          <w:tab w:leader="none" w:pos="61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serves enterprise and mid-market retailers primarily in the convenience &amp; fuel, grocery, drug &amp; mass merchandise,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department &amp; specialty retail industry segments. We offer an end-to-end suite of unified commerce solutions, spanning across software, payments, installation and maintenance services, managed and professional services, and hardware. These offerings are purpose-built to enable retailers to deliver the seamless experiences that customers have come to expect. Our SaaS solutions, powered by the Voyix Commerce Platform, include, among others, point-of-sale (“POS”), self-checkout (“SCO”), consumer marketing and loyalty, inventory and supply chain management, fraud and loss prevention, and consumer engagement.</w:t>
      </w:r>
    </w:p>
    <w:p>
      <w:pPr>
        <w:spacing w:after="0" w:line="197" w:lineRule="exact"/>
        <w:rPr>
          <w:rFonts w:ascii="Times New Roman" w:cs="Times New Roman" w:eastAsia="Times New Roman" w:hAnsi="Times New Roman"/>
          <w:sz w:val="17"/>
          <w:szCs w:val="17"/>
          <w:i w:val="1"/>
          <w:iCs w:val="1"/>
          <w:color w:val="auto"/>
        </w:rPr>
      </w:pPr>
    </w:p>
    <w:p>
      <w:pPr>
        <w:jc w:val="both"/>
        <w:ind w:left="620" w:hanging="305"/>
        <w:spacing w:after="0" w:line="26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serves restaurants and food service establishments of varying size, format and complexity, including,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 quick-service, table-service, and fast-casual restaurants. We offer an end-to-end suite of unified commerce solutions, spanning across software, payments, installation and maintenance services, managed and professional services, and hardware. Our SaaS solutions for restaurants, powered by the Voyix Commerce Platform, include, among others, POS, consumer marketing and loyalty, inventory and kitchen management ordering, pay-at-table, menu management, and labor management.</w:t>
      </w:r>
    </w:p>
    <w:p>
      <w:pPr>
        <w:spacing w:after="0" w:line="19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either of our two reportable segments, along with certain non-strategic businesses that are considered immaterial operating segment(s), as well as commercial agreements with NCR Atleos.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HIGHLIGHTS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highlights for the third quarter of 2026:</w:t>
      </w:r>
    </w:p>
    <w:p>
      <w:pPr>
        <w:spacing w:after="0" w:line="31" w:lineRule="exact"/>
        <w:rPr>
          <w:sz w:val="20"/>
          <w:szCs w:val="20"/>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Recurring revenue increased 1% as compared to the prior year period and comprised 79% of total consolidated revenue</w:t>
      </w:r>
    </w:p>
    <w:p>
      <w:pPr>
        <w:spacing w:after="0" w:line="1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and services revenue was flat compared to the prior year period and comprised 93% of total consolidated revenue</w:t>
      </w:r>
    </w:p>
    <w:p>
      <w:pPr>
        <w:spacing w:after="0" w:line="1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from continuing operations was $14 million, compared to a net loss from continuing operations of $18 million in the prior year period</w:t>
      </w:r>
    </w:p>
    <w:p>
      <w:pPr>
        <w:spacing w:after="0" w:line="1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was $120 million compared to $123 million in the prior year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INITIATIVES AND TRENDS</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strategy is to advance our position as the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 store, curbside or through mobile channels. They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can deliver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to customers an end-to-end value proposition that we believe is difficult to match. As the adoption of our platform and solutions accelerates, we expect to strengthen customer relationships, enhance recurring revenue streams and broaden monetization opportunities across our Voyix Commerce Platform. To achieve our goals, we are focused on: (i) delivering a modern suite of Software-as-a-Service (“SaaS”) solutions, (ii) expanding adoption of our integrated payment solutions, (iii) scaling our differentiated services offerings and (iv) investing in innovation to further expand our platform capabilities.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Trends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Global Trade, Macroeconomic Environment</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U.S. and other global markets currently are experiencing increased volatility due to the effects of, among other things, recent changes in imposed or threatened tariffs and other trade policy changes by the U.S. and other countries, escalating geopolitical and civil conflicts, including, but not limited to, Eastern Europe and the Middle East, inflationary pressures, such as increasing prices for goods and services (including fuel), changing fiscal and/or monetary policies in the U.S. and elsewhere, and fluctuating currency exchange rates, elevated unemployment rates, global shortages of microchips and other technology components, primarily driven by the adoption of artificial intelligence technologies, and, in some locations around the world, decreased economic conditions that indicate the potential for near-term recessions or slowdowns.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Given our geographic presence and the multinational composition of our customer base, our business and financial performance could be impacted by the evolving global economic landscape. We are subject to a variety of risks posed by the current macroeconomic environment, and we are continuously monitoring the direct and indirect impacts of these circumstances. Economic pressures on retail and restaurant businesses and on consumers could negatively affect our revenue and profitability in future periods. In addition, U.S. foreign trade policy continues to evolve under the current presidential administration, including the announcement of a number of new tariffs subsequent to the U.S. Supreme Court’s February 2026 decision to uphold a ruling that invalidated certain tariffs previously imposed, some of which have since expired and been replaced by tariffs under other authorities, and some of which have prompted retaliatory tariffs by certain foreign countries. It is currently unknown if these tariffs will remain in place, be expanded or be removed, and we do not know whether additional foreign countries will adopt retaliatory trade policies in response to these new tariffs. The current trade policy environment is expected to continue to evolve, but we cannot anticipate the impact that these or other changes will have on our business and financial performance. As a result of these uncertainties, we may be impacted in the future within the markets in which we operate.</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further discussion of trends, uncertainties and other factors that could affect our operating results, refer to Part I, Item 1A, “Risk Factors”, contained in our 2025 Form 10-K and subsequent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from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 the three and nine months ended September 30, 2026 compared to the three and nine months ended September 30,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results for the three and nine months ended September 30, 2026 and 2025, respectively, the relative percentage that those amounts represent to revenue, and the change in those amounts year-over-year.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r>
      <w:tr>
        <w:trPr>
          <w:trHeight w:val="17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93.5 %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33.9 %</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23"/>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r>
      <w:tr>
        <w:trPr>
          <w:trHeight w:val="17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87.4 %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30.5 %</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517 %</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firstLine="4"/>
        <w:spacing w:after="0" w:line="230" w:lineRule="auto"/>
        <w:tabs>
          <w:tab w:leader="none" w:pos="164"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product gross margin and service gross margin,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Strategic Financial Metrics</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key strategic financial metrics for the three and nine months ended September 30, 2026 and 2025, respectively, the relative percentage that those amounts represent to total revenue, and the change in those amounts year-over-year.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revenue as a percentage of total revenue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40"/>
              <w:spacing w:after="0" w:line="226"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20.6 %</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40"/>
              <w:spacing w:after="0" w:line="226" w:lineRule="exact"/>
              <w:rPr>
                <w:sz w:val="20"/>
                <w:szCs w:val="20"/>
                <w:color w:val="auto"/>
              </w:rPr>
            </w:pPr>
            <w:r>
              <w:rPr>
                <w:rFonts w:ascii="Times New Roman" w:cs="Times New Roman" w:eastAsia="Times New Roman" w:hAnsi="Times New Roman"/>
                <w:sz w:val="17"/>
                <w:szCs w:val="17"/>
                <w:color w:val="auto"/>
              </w:rPr>
              <w:t xml:space="preserve">Recurring revenue </w:t>
            </w:r>
            <w:r>
              <w:rPr>
                <w:rFonts w:ascii="Times New Roman" w:cs="Times New Roman" w:eastAsia="Times New Roman" w:hAnsi="Times New Roman"/>
                <w:sz w:val="22"/>
                <w:szCs w:val="22"/>
                <w:color w:val="auto"/>
                <w:vertAlign w:val="superscript"/>
              </w:rPr>
              <w:t>(1)</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23.1 %</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4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240" w:hanging="236"/>
        <w:spacing w:after="0" w:line="266" w:lineRule="auto"/>
        <w:tabs>
          <w:tab w:leader="none" w:pos="134"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payments revenue and certain professional services arrangements as well as term-based software license arrangements that include customer termination rights.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type</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7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00" w:type="dxa"/>
            <w:vAlign w:val="bottom"/>
            <w:vMerge w:val="continue"/>
          </w:tcPr>
          <w:p>
            <w:pPr>
              <w:spacing w:after="0"/>
              <w:rPr>
                <w:sz w:val="15"/>
                <w:szCs w:val="15"/>
                <w:color w:val="auto"/>
              </w:rPr>
            </w:pPr>
          </w:p>
        </w:tc>
        <w:tc>
          <w:tcPr>
            <w:tcW w:w="13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and services revenue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92.8 %</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73.9 %</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4120" w:type="dxa"/>
            <w:vAlign w:val="bottom"/>
            <w:tcBorders>
              <w:bottom w:val="single" w:sz="8" w:color="CCEEFF"/>
            </w:tcBorders>
            <w:gridSpan w:val="2"/>
          </w:tcPr>
          <w:p>
            <w:pPr>
              <w:ind w:left="20"/>
              <w:spacing w:after="0" w:line="233" w:lineRule="exact"/>
              <w:rPr>
                <w:sz w:val="20"/>
                <w:szCs w:val="20"/>
                <w:color w:val="auto"/>
              </w:rPr>
            </w:pPr>
            <w:r>
              <w:rPr>
                <w:rFonts w:ascii="Times New Roman" w:cs="Times New Roman" w:eastAsia="Times New Roman" w:hAnsi="Times New Roman"/>
                <w:sz w:val="17"/>
                <w:szCs w:val="17"/>
                <w:color w:val="auto"/>
              </w:rPr>
              <w:t>Hardware-related revenue</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7.2 %</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5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19"/>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8"/>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4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and services revenue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4100" w:type="dxa"/>
            <w:vAlign w:val="bottom"/>
            <w:tcBorders>
              <w:bottom w:val="single" w:sz="8" w:color="CCEEFF"/>
            </w:tcBorders>
          </w:tcPr>
          <w:p>
            <w:pPr>
              <w:ind w:left="20"/>
              <w:spacing w:after="0" w:line="233" w:lineRule="exact"/>
              <w:rPr>
                <w:sz w:val="20"/>
                <w:szCs w:val="20"/>
                <w:color w:val="auto"/>
              </w:rPr>
            </w:pPr>
            <w:r>
              <w:rPr>
                <w:rFonts w:ascii="Times New Roman" w:cs="Times New Roman" w:eastAsia="Times New Roman" w:hAnsi="Times New Roman"/>
                <w:sz w:val="17"/>
                <w:szCs w:val="17"/>
                <w:color w:val="auto"/>
              </w:rPr>
              <w:t>Hardware-related revenue</w:t>
            </w:r>
            <w:r>
              <w:rPr>
                <w:rFonts w:ascii="Times New Roman" w:cs="Times New Roman" w:eastAsia="Times New Roman" w:hAnsi="Times New Roman"/>
                <w:sz w:val="22"/>
                <w:szCs w:val="22"/>
                <w:color w:val="auto"/>
                <w:vertAlign w:val="superscript"/>
              </w:rPr>
              <w:t>(2)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11.9 %</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4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40" w:hanging="136"/>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Hardware-related revenue includes hardware revenue and hardware commission revenue beginning in the second quarter of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from continuing operations attributable to NCR Voyix and Adjusted EBITDA</w:t>
      </w:r>
      <w:r>
        <w:rPr>
          <w:rFonts w:ascii="Times New Roman" w:cs="Times New Roman" w:eastAsia="Times New Roman" w:hAnsi="Times New Roman"/>
          <w:sz w:val="22"/>
          <w:szCs w:val="22"/>
          <w:b w:val="1"/>
          <w:bCs w:val="1"/>
          <w:i w:val="1"/>
          <w:iCs w:val="1"/>
          <w:color w:val="auto"/>
          <w:vertAlign w:val="superscript"/>
        </w:rPr>
        <w:t>(3)</w:t>
      </w:r>
      <w:r>
        <w:rPr>
          <w:rFonts w:ascii="Times New Roman" w:cs="Times New Roman" w:eastAsia="Times New Roman" w:hAnsi="Times New Roman"/>
          <w:sz w:val="17"/>
          <w:szCs w:val="17"/>
          <w:b w:val="1"/>
          <w:bCs w:val="1"/>
          <w:i w:val="1"/>
          <w:iCs w:val="1"/>
          <w:color w:val="auto"/>
        </w:rPr>
        <w:t xml:space="preserve"> as a percentage of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860" w:type="dxa"/>
            <w:vAlign w:val="bottom"/>
            <w:vMerge w:val="restart"/>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2.6 %</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attributable to NCR Voyix</w:t>
            </w:r>
          </w:p>
        </w:tc>
        <w:tc>
          <w:tcPr>
            <w:tcW w:w="86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22.3 %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9"/>
        </w:trPr>
        <w:tc>
          <w:tcPr>
            <w:tcW w:w="980" w:type="dxa"/>
            <w:vAlign w:val="bottom"/>
            <w:tcBorders>
              <w:top w:val="single" w:sz="8" w:color="0000FF"/>
            </w:tcBorders>
          </w:tcPr>
          <w:p>
            <w:pPr>
              <w:spacing w:after="0"/>
              <w:rPr>
                <w:sz w:val="24"/>
                <w:szCs w:val="24"/>
                <w:color w:val="auto"/>
              </w:rPr>
            </w:pPr>
          </w:p>
        </w:tc>
        <w:tc>
          <w:tcPr>
            <w:tcW w:w="3140" w:type="dxa"/>
            <w:vAlign w:val="bottom"/>
          </w:tcPr>
          <w:p>
            <w:pPr>
              <w:spacing w:after="0"/>
              <w:rPr>
                <w:sz w:val="24"/>
                <w:szCs w:val="24"/>
                <w:color w:val="auto"/>
              </w:rPr>
            </w:pPr>
          </w:p>
        </w:tc>
        <w:tc>
          <w:tcPr>
            <w:tcW w:w="27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20" w:type="dxa"/>
            <w:vAlign w:val="bottom"/>
            <w:gridSpan w:val="2"/>
            <w:vMerge w:val="continue"/>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860" w:type="dxa"/>
            <w:vAlign w:val="bottom"/>
            <w:vMerge w:val="restart"/>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0.7 %</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attributable to NCR Voyix</w:t>
            </w:r>
          </w:p>
        </w:tc>
        <w:tc>
          <w:tcPr>
            <w:tcW w:w="86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4"/>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40" w:hanging="136"/>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our definition of Adjusted EBITDA in the section entitled “Non-GAAP Financial Measures and Use of Certain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Financial Measures and Use of Certain Terms:</w:t>
      </w: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Adjusted Earnings Before Interest, Taxes, Depreciation and Amortization (“Adjusted EBITDA”) </w:t>
      </w:r>
      <w:r>
        <w:rPr>
          <w:rFonts w:ascii="Times New Roman" w:cs="Times New Roman" w:eastAsia="Times New Roman" w:hAnsi="Times New Roman"/>
          <w:sz w:val="17"/>
          <w:szCs w:val="17"/>
          <w:color w:val="auto"/>
        </w:rPr>
        <w:t>Our management uses the non-GAAP measure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58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5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 (GAAP)</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(excluding acquisition related amortization of intangibles)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3"/>
        </w:trPr>
        <w:tc>
          <w:tcPr>
            <w:tcW w:w="7600" w:type="dxa"/>
            <w:vAlign w:val="bottom"/>
          </w:tcPr>
          <w:p>
            <w:pPr>
              <w:ind w:left="20"/>
              <w:spacing w:after="0" w:line="233" w:lineRule="exact"/>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disposal of businesses</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3"/>
        </w:trPr>
        <w:tc>
          <w:tcPr>
            <w:tcW w:w="7600" w:type="dxa"/>
            <w:vAlign w:val="bottom"/>
          </w:tcPr>
          <w:p>
            <w:pPr>
              <w:ind w:left="20"/>
              <w:spacing w:after="0" w:line="233" w:lineRule="exact"/>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3"/>
        </w:trPr>
        <w:tc>
          <w:tcPr>
            <w:tcW w:w="76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Litigation costs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Represents integration, severance, and other exit and disposal costs which are considered non-operational in nature.</w:t>
      </w:r>
    </w:p>
    <w:p>
      <w:pPr>
        <w:jc w:val="both"/>
        <w:spacing w:after="0" w:line="217"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professional fees related to strategic initiatives which are considered non-operational in nature, as well as certain costs incurred related to the Hardware Business Transition.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costs related to certain litigation matters, reflecting the costs of the indemnity and associated legal fees, net of expected indemnity recoveries from NCR Atleos, as discussed in Note 9,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504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93.5 %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Product revenue includes our hardware and software license revenue streams. Service revenue includes SaaS solutions, software maintenance, professional services, installation services, payment and hardware maintenance, as well as hardware commission revenue beginning in the second quarter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Total revenue decreased 20% for the three months ended September 30, 2026 compared to the three months ended September 30, 2025. Product revenue for the three months ended September 30, 2026 decreased 82% compared to the three months ended September 30, 2025 due to the Hardware Business Transition. Effective April 1, 2026, the Company transitioned from recognizing hardware revenue sales on a gross basis within Product revenue to recognizing net hardware commission revenue as an agent for Ennoconn, reported within Service revenue. Accordingly, the decrease in Product revenue primarily reflects the Hardware Business Transition. Service revenue for the three months ended September 30, 2026 increased 5% compared to the three months ended September 30, 2025 due to the net hardware commission revenue recognized beginning in the second quarter of 2026 from the Hardware Business Transition, as previously discussed, as well as increases in payments revenue and SaaS solutions revenue, offset by a decrease in non-recurring installation services revenues as compared to the prior year period. Recurring revenue increased 1% for the three months ended September 30, 2026 compared to the three months ended September 30, 2025 primarily driven by payments and software license revenues.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5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100" w:type="dxa"/>
            <w:vAlign w:val="bottom"/>
          </w:tcPr>
          <w:p>
            <w:pPr>
              <w:spacing w:after="0"/>
              <w:rPr>
                <w:sz w:val="15"/>
                <w:szCs w:val="15"/>
                <w:color w:val="auto"/>
              </w:rPr>
            </w:pP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87.4 %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51"/>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Total revenue decreased 14% for the nine months ended September 30, 2026 compared to the nine months ended September 30, 2025. Product revenue for the nine months ended September 30, 2026 decreased 61% compared to the nine months ended September 30, 2025 due to the Hardware Business Transition. Effective April 1, 2026, the Company transitioned from recognizing hardware revenue sales on a gross basis within Product revenue to recognizing net hardware commission revenue as an agent for Ennoconn, reported within Service revenue. Accordingly, the decrease in Product revenue primarily reflects the Hardware Business Transition. Service revenue for the nine months ended September 30, 2026 increased 3% compared to the nine months ended September 30, 2025 due to the net hardware commission revenue recognized beginning in the second quarter of 2026 from the Hardware Business Transition, as previously discussed, as well as increases in payments revenue and hardware maintenance revenue, offset by a decrease in non-recurring installation services and SaaS solutions revenues as compared to the prior year period. Recurring revenue increased 3% for the nine months ended September 30, 2026 compared to the nine months ended September 30, 2025 primarily driven by payments revenue, hardware maintenance revenue, software maintenance revenue, and software license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8"/>
                <w:szCs w:val="8"/>
                <w:b w:val="1"/>
                <w:bCs w:val="1"/>
                <w:color w:val="auto"/>
              </w:rPr>
              <w:t>(1)</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4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17.1 %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33.9 %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32.8 %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hanging="156"/>
        <w:spacing w:after="0"/>
        <w:tabs>
          <w:tab w:leader="none" w:pos="1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the related component of revenue.</w:t>
      </w:r>
    </w:p>
    <w:p>
      <w:pPr>
        <w:spacing w:after="0" w:line="200" w:lineRule="exact"/>
        <w:rPr>
          <w:rFonts w:ascii="Times New Roman" w:cs="Times New Roman" w:eastAsia="Times New Roman" w:hAnsi="Times New Roman"/>
          <w:sz w:val="20"/>
          <w:szCs w:val="20"/>
          <w:color w:val="auto"/>
          <w:vertAlign w:val="superscript"/>
        </w:rPr>
      </w:pPr>
    </w:p>
    <w:p>
      <w:pPr>
        <w:spacing w:after="0" w:line="344"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Gross margin as a percentage of revenue in the three months ended September 30, 2026 was 32.8% compared to 24.2% in the three months ended September 30, 2025. Product gross margin for the three months ended September 30, 2026 was impacted by the Company’s Hardware Business Transition. Beginning April 1, 2026, as a result of the Hardware Business Transition, hardware revenue and the related cost of product revenue were largely excluded from Product gross margin. The remaining Product gross margin benefited from an improved mix of higher-margin software license revenue compared to the prior year period. Service gross margin increased due to hardware commission gross margin related to the Hardware Business Transition, as well as increases in hardware maintenance, professional services and payments gross margin, offset by declines in gross margin for non-recurring installation services and SaaS solutions in the three months ended September 30, 2026 as compared to the three months ended September 30, 2025.</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7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3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444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30.5 %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51"/>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Gross margin as a percentage of revenue in the nine months ended September 30, 2026 was 27.8% compared to 23.0% in the nine months ended September 30, 2025. Product gross margin for the nine months ended September 30, 2026 was impacted by the Company’s Hardware Business Transition. Beginning April 1, 2026, as a result of the Hardware Business Transition, hardware revenue and the related cost of product revenue were largely excluded from Product gross margin. The remaining Product gross margin benefited from an improved mix of higher-margin software license revenue compared to the prior year period. Also included in product gross margin were strategic initiative costs of $5 million for the nine months ended September 30, 2026 compared to $4 million for the nine months ended September 30, 2025. These one-time strategic initiative costs relate to expenses incurred for the Hardware Business Transition. Service gross margin increased due to hardware commission gross margin related to the Hardware Business Transition, as well as improved margins for hardware maintenance, professional services, payments and software maintenance, offset by declines in gross margin for SaaS solutions and installation services in the nine months ended September 30, 2026 as compared to the nine months ended September 30,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980" w:type="dxa"/>
            <w:vAlign w:val="bottom"/>
            <w:vMerge w:val="continue"/>
          </w:tcPr>
          <w:p>
            <w:pPr>
              <w:spacing w:after="0"/>
              <w:rPr>
                <w:sz w:val="15"/>
                <w:szCs w:val="15"/>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Selling, general and administrative expenses were $104 million in the three months ended September 30, 2026, compared to $110 million in the three months ended September 30, 2025. As a percentage of revenue, selling, general and administrative expenses were 19.3% and 16.2% in the three months ended September 30, 2026 and 2025, respectively. The decrease in selling, general and administrative expenses for the three months ended September 30, 2026 compared to the prior year period is due to the cost reduction initiatives implemented during the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9"/>
        </w:trPr>
        <w:tc>
          <w:tcPr>
            <w:tcW w:w="98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980" w:type="dxa"/>
            <w:vAlign w:val="bottom"/>
            <w:gridSpan w:val="2"/>
            <w:vMerge w:val="continue"/>
          </w:tcPr>
          <w:p>
            <w:pPr>
              <w:spacing w:after="0"/>
              <w:rPr>
                <w:sz w:val="15"/>
                <w:szCs w:val="15"/>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Selling, general and administrative expenses were $326 million compared to $330 million in the nine months ended September 30, 2026 and 2025, respectively. As a percentage of revenue, selling, general and administrative expenses were 19.5% and 16.9% in the nine months ended September 30, 2026 and 2025, respectively. The overall decrease in selling, general and administrative expenses during the nine months ended September 30, 2026 compared to the prior year period is due to the cost reduction initiatives implemented during the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4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were $31 million in the three months ended September 30, 2026, compared to $40 million in the three months ended September 30, 2025. As a percentage of revenue, research and development costs were 5.8% and 5.9% in the three months ended September 30, 2026 and 2025, respectively. Research and development expenses in the three months ended September 30, 2026 have decreased compared to the prior year period due to cost reduction initiatives implemented during the period, including the use of artificial intelligence as a software development tool.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4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were $100 million compared to $112 million in the nine months ended September 30, 2026 and 2025, respectively. As a percentage of revenue, these costs were 6.0% and 5.7% in the nine months ended September 30, 2026 and 2025, respectively. The overall decrease in research and development expenses in the nine months ended September 30, 2026 compared to the prior year period is due to cost reduction initiatives implemented during the year, including the use of artificial intelligence as a software development tool.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Interest expense was $16 million and $15 million for the three months ended September 30, 2026 and 2025, respectively. Interest expense is primarily related to our senior unsecured notes and borrowings under the Senior Secured Credit Facility.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9"/>
        </w:trPr>
        <w:tc>
          <w:tcPr>
            <w:tcW w:w="980" w:type="dxa"/>
            <w:vAlign w:val="bottom"/>
            <w:tcBorders>
              <w:top w:val="single" w:sz="8" w:color="0000FF"/>
            </w:tcBorders>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Interest expense was $46 million compared to $44 million for the nine months ended September 30, 2026 and 2025, respectively. Interest expense is primarily related to our senior unsecured notes and borrowings under the Senior Secured Credit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Other income (expense), net was expense of $5 million and $23 million for the three months ended September 30, 2026 and 2025, respectively, and expense of $13 million and $18 million for the nine months ended September 30, 2026 and 2025, respectively. The components of Other income (expense), net are reflected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6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fluctuations and foreign exchange contracts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Bank-related fees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benefit plans</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6"/>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Included in Other, net for the three and nine months ended September 30, 2026 are strategic initiative costs of $2 million and $17 million, respectively, related to the Hardware Business Transition. Additionally, included in Other, net for the three and nine months ended September 30, 2026 is income related to the sale of certain intangible assets with no carrying value of $3 million and $9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740" w:type="dxa"/>
            <w:vAlign w:val="bottom"/>
            <w:vMerge w:val="continue"/>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expense from continuing operations was $7 million for the three months ended September 30, 2026 compared to an income tax benefit of $6 million for the three months ended September 30, 2025. The increase in income tax expense was primarily driven by higher income from continuing operations before taxes, partially offset by favorable changes in discrete tax expenses and benefits for the three months ended September 30, 2026 compared to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Income tax benefit was $33 million for the nine months ended September 30, 2026 compared to an income tax benefit of $17 million for the nine months ended September 30, 2025. The increase in income tax benefit was primarily driven by changes in the geographic earnings mix, partially offset by a lower loss from continuing operations before taxes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(Loss) from Discontinued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700" w:type="dxa"/>
            <w:vAlign w:val="bottom"/>
            <w:vMerge w:val="continue"/>
          </w:tcPr>
          <w:p>
            <w:pPr>
              <w:spacing w:after="0"/>
              <w:rPr>
                <w:sz w:val="15"/>
                <w:szCs w:val="15"/>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$10 million for the three months ended September 30, 2026, consisting of $22 million of income from discontinued operations related to the sale of the Japan bank technology solutions business and $12 million of loss from discontinued operations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$1 million of loss from discontinued operations, net of tax, for the three months ended September 30, 2025, consisting of $1 million of income related to the Japan bank technology solutions business and $2 million of loss from discontinued operations related to the Company’s environmental remediation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$10 million of income from discontinued operations, net of tax, for the nine months ended September 30, 2026, consisting of $21 million of income from discontinued operations related to the sale of the Japan bank technology solutions business and $11 million of loss from discontinued operations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$3 million for the nine months ended September 30, 2025, consisting of $3 million of income related to the Japan bank technology solutions business and no income or loss from discontinued operations related to the Company’s environmental remediation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2, “Discontinued Operations” of the Notes to Condensed Consolidated Financial Statements,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and Adjusted EBITDA by Segment</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manages and reports its businesses in the following two segments: Retail and Restaurants.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either of our two individual reportable segments along with certain non-strategic businesses that are considered immaterial operating segment(s) and commercial agreements with NCR Atleos.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segment revenue and Adjusted EBITDA for the three and nine months ended September 30, 2026 and 2025, the relative percentage that those amounts represent to segment revenue, and the change in those amounts year-over-year.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7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3"/>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69.9 %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30.1 %</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31.0 %</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 %</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3"/>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45.1 %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49" w:lineRule="exact"/>
        <w:rPr>
          <w:sz w:val="20"/>
          <w:szCs w:val="20"/>
          <w:color w:val="auto"/>
        </w:rPr>
      </w:pPr>
    </w:p>
    <w:p>
      <w:pPr>
        <w:ind w:left="160" w:hanging="156"/>
        <w:spacing w:after="0"/>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Adjusted EBITDA, which is divided by the related component of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2026 compared to the three months ended September 30, 2025</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Retail revenue decreased 19% for the three months ended September 30, 2026, compared to the three months ended September 30, 2025.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non-recurring installation service, hardware maintenance, and professional services revenues, offset by an increase in SaaS solutions, payments, software license, and software maintenance revenues. Retail recurring revenue grew by 4% when comparing the three months ended September 30, 2026 to the three months ended September 30, 2025.</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Restaurants revenue decreased 23% for the three months ended September 30, 2026, compared to the three months ended September 30, 2025.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SaaS solutions, software license, software maintenance, professional services and non-recurring installation service revenues. These decreases in revenue were partially offset by an increase in hardware maintenance and payments revenues. Restaurants recurring revenue declined by 3% when comparing the three months ended September 30, 2026 to the three months ended September 30,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9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7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3"/>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3"/>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70.1 %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29.9 %</w:t>
            </w:r>
          </w:p>
        </w:tc>
        <w:tc>
          <w:tcPr>
            <w:tcW w:w="8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31.1 %</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24.1 %</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37.1 %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49" w:lineRule="exact"/>
        <w:rPr>
          <w:sz w:val="20"/>
          <w:szCs w:val="20"/>
          <w:color w:val="auto"/>
        </w:rPr>
      </w:pPr>
    </w:p>
    <w:p>
      <w:pPr>
        <w:ind w:left="160" w:hanging="156"/>
        <w:spacing w:after="0"/>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Adjusted EBITDA, which is divided by the related component of revenue.</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78"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2026 compared to the nine months ended September 30, 2025</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Retail revenue decreased 13% for the nine months ended September 30, 2026, compared to the nine months ended September 30, 2025.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non-recurring installation service and professional services revenues, offset by an increase in SaaS solutions, payments, software license, hardware maintenance and software maintenance revenues. Retail recurring revenue grew by 5% when comparing the nine months ended September 30, 2026 to the nine months ended September 30, 2025.</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Restaurants revenue decreased 18% for the nine months ended September 30, 2026, compared to the nine months ended September 30, 2025.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SaaS solutions, software license, software maintenance, professional services and non-recurring installation service revenues. These decreases in revenue were partially offset by an increase in hardware maintenance and payments revenues. Restaurants recurring revenue declined by 1% when comparing the nine months ended September 30, 2026 to the nine months ended September 30,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and nine months ended September 30, 2026 compared to the three and nine months ended September 30, 2025</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Retail Adjusted EBITDA increased 19% for both the three and nine months ended September 30, 2026 compared to the prior year periods, mainly due to a favorable software revenue mix and the Company’s cost reduction initiatives implemented during the year.</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Restaurants Adjusted EBITDA decreased 1% and 8% for the three and nine months ended September 30, 2026, respectively, compared to the prior year periods, due to the decrease in revenue, as discussed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Financial Condition, Liquidity and Capital Resources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primary liquidity needs in the ordinary course of business are: (i) normal operating expenses; (ii) interest and principal requirements of our outstanding indebtedness; (iii) capital expenditures and lease payments; (iv) remediation payments related to environmental matters; (v) pension and postemployment plan contributions; and (vi) transformation and restructuring initiatives. We believe these liquidity needs will be satisfied in both the short and long term based on our current cash position, cash flows generated by our operations, and existing financing arrangements.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2026, our cash and cash equivalents totaled $275 million and our total debt was $1.1 billion. Our borrowing capacity under our senior secured credit facilities was $475 million as of September 30, 2026.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activities, investing activities and financing activities for the nine months ended September 30, 2026 and 2025. The Consolidated Statements of Cash Flows include the results of continuing and discontinued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center"/>
              <w:ind w:left="881"/>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0" w:type="dxa"/>
            <w:vAlign w:val="bottom"/>
          </w:tcPr>
          <w:p>
            <w:pPr>
              <w:spacing w:after="0"/>
              <w:rPr>
                <w:sz w:val="20"/>
                <w:szCs w:val="20"/>
                <w:color w:val="auto"/>
              </w:rPr>
            </w:pPr>
          </w:p>
        </w:tc>
        <w:tc>
          <w:tcPr>
            <w:tcW w:w="1260" w:type="dxa"/>
            <w:vAlign w:val="bottom"/>
          </w:tcPr>
          <w:p>
            <w:pPr>
              <w:jc w:val="center"/>
              <w:ind w:left="881"/>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left="861"/>
              <w:spacing w:after="0"/>
              <w:rPr>
                <w:sz w:val="20"/>
                <w:szCs w:val="20"/>
                <w:color w:val="auto"/>
              </w:rPr>
            </w:pPr>
            <w:r>
              <w:rPr>
                <w:rFonts w:ascii="Times New Roman" w:cs="Times New Roman" w:eastAsia="Times New Roman" w:hAnsi="Times New Roman"/>
                <w:sz w:val="17"/>
                <w:szCs w:val="17"/>
                <w:b w:val="1"/>
                <w:bCs w:val="1"/>
                <w:color w:val="auto"/>
                <w:w w:val="98"/>
              </w:rPr>
              <w:t>(51)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provided by operating activities was $76 million in the nine months ended September 30, 2026, compared to cash used in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of $270 million in the nine months ended September 30, 2025. The increase in cash provided by operating activities was driven by the payment of taxes related to the Digital Banking Sale of $284 million during the three months ended June 30, 2025, as well as movement in the net working capital accounts.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Capital Expenditures and Other Investing Activities </w:t>
      </w:r>
      <w:r>
        <w:rPr>
          <w:rFonts w:ascii="Times New Roman" w:cs="Times New Roman" w:eastAsia="Times New Roman" w:hAnsi="Times New Roman"/>
          <w:sz w:val="17"/>
          <w:szCs w:val="17"/>
          <w:color w:val="auto"/>
        </w:rPr>
        <w:t>Our principal capital expenditures are for software (purchased and internally developed) and additions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and equipment. We invested approximately $114 million and $119 million in capital expenditures during the nine months ended September 30, 2026 and 2025, respectively. We expect to continue investing in property and equipment, purchased software and internally developed software to support our business. The Company received $32 million of net cash proceeds from the sale of its Japan bank technology solutions business and collected $95 million on the non-operating receivables due from Ennoconn related to the Hardware Business Transition during the nine months ended September 30, 2026.</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used in financing activities was $51 million in the nine months ended September 30, 2026, compared to cash used in financing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of $90 million in the nine months ended September 30, 2025. During the nine months ended September 30, 2026, the Company repurchased $28 million under the Repurchase Program, compared to $69 million in the nine months ended September 30, 2025. Additional financing activities included dividends paid on the Series A preferred stock, proceeds from employee stock plans as well as payments made for share repurchases and tax withholding payments on behalf of employees for stock-based awards that vested. Financing activities also include borrowings and repayments under our senior secured credit facilities as well as our unsecured senior notes.</w:t>
      </w:r>
    </w:p>
    <w:p>
      <w:pPr>
        <w:spacing w:after="0" w:line="3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provided by or used in operating activities of discontinued operations related to the Japan bank technology solutions business was cash used in operating activities of $1 million and cash provided by operating activities of $4 million for the nine months ended September 30, 2026 and 2025, respectively. Net cash provided by or used in operating activities of discontinued operations related to environmental obligations was cash used in operating activities of $7 million and $17 million for the nine months ended September 30, 2026 and 2025, respectively.</w:t>
      </w: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Long Term Borrowings </w:t>
      </w:r>
      <w:r>
        <w:rPr>
          <w:rFonts w:ascii="Times New Roman" w:cs="Times New Roman" w:eastAsia="Times New Roman" w:hAnsi="Times New Roman"/>
          <w:sz w:val="17"/>
          <w:szCs w:val="17"/>
          <w:color w:val="auto"/>
        </w:rPr>
        <w:t>The senior secured credit facilities include a term loan facility in an initial aggregate principal amount of $200 million, which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had repaid in full as of September 30, 2026. Additionally, the senior secured credit facilities include a five-year revolving credit facility with an aggregate principal amount of $500 million, of which zero was outstanding as of September 30, 2026. The revolving credit facility also contains a sub-facility to be used for letters of credit, and as of September 30, 2026, there were $25 million letters of credit outstanding.</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2026, we had outstanding $650 million aggregate principal balance of 5.000% senior unsecured notes due in 2028, $403 million in aggregate principal balance of 5.125% senior unsecured notes due in 2029 and $52 million in aggregate principal balance of 5.250% senior unsecured notes due in 2030.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5, “Debt Obligations”, of the Notes to Condensed Consolidated Financial Statements, for additional information regarding debt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color w:val="auto"/>
        </w:rPr>
        <w:t>In 2026, we expect to make contributions of $12 million to our international pension plans and $26 million to our postemployment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refer to Note 8, “Employee Benefit Plans”, of the Notes to Condensed Consolidated Financial Statements.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Series A Convertible Preferred Stock </w:t>
      </w:r>
      <w:r>
        <w:rPr>
          <w:rFonts w:ascii="Times New Roman" w:cs="Times New Roman" w:eastAsia="Times New Roman" w:hAnsi="Times New Roman"/>
          <w:sz w:val="17"/>
          <w:szCs w:val="17"/>
          <w:color w:val="auto"/>
        </w:rPr>
        <w:t>As of September 30, 2026, the redemption value of the Series A Preferred Stock was approximately $207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During the three months ended September 30, 2026 and 2025, the Company paid cash dividends of $3 million and $3 million, respectively.</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September 30, 2026, the maximum number of common shares that could be required to be issued upon conversion of the outstanding shares of the Series A Convertible Preferred Stock was 11.9 million shares, which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represent approximately 8% of our outstanding common stock as of September 30, 2026, including the preferred shares on an as-converted basis.</w:t>
      </w:r>
    </w:p>
    <w:p>
      <w:pPr>
        <w:spacing w:after="0" w:line="2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and Cash Equivalents Held by Foreign Subsidiaries </w:t>
      </w:r>
      <w:r>
        <w:rPr>
          <w:rFonts w:ascii="Times New Roman" w:cs="Times New Roman" w:eastAsia="Times New Roman" w:hAnsi="Times New Roman"/>
          <w:sz w:val="17"/>
          <w:szCs w:val="17"/>
          <w:color w:val="auto"/>
        </w:rPr>
        <w:t>Cash and cash equivalents held by the Company’s foreign subsidiaries at September 30, 2026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2025 were $158 million and $120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As of September 30, 2026, our cash and cash equivalents totaled $275 million and our total debt was $1.1 billion, excluding deferred fees.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2026, our borrowing capacity under the revolving credit facility was approximately $475 million. Our ability to generate positive cash flows from operations is dependent on general economic conditions, the competitive environment in our industry, and is subject to the business and other risk factors described in Item 1A of Part I of the Company’s 2025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September 30, 2027) to meet our material cash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Material Cash Requirements from Contractual and Other Obligations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There have been no significant changes in our contractual and other commercial obligations as described in our Form 10-K for the year ended December 31,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 and Estimates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2025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New Accounting Pronouncements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discussion in Note 1, “Basis of Presentation and Summary of Significant Accounting Policies”, of the Notes to Condensed Consolidated Financial Statements for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Forward-Looking Statements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the Private Securities Litigation Reform Act of 1995 (the “Act”), Section 27A of the Securities Act of 1933, and Section 21E of the Securities Exchange Act of 1934 (the “Exchange Act”). Forward-looking statements may appear throughout this Quarterly Report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Quarterly Report include, without limitation, statements regarding: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expected benefits resulting from the Hardware Business Transition; the estimated or anticipated future results and benefits of the Company’s plans and operations; the Company’s expectations of demand for its solutions and service offerings;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potential indemnification obligations to NCR Atleos or a refusal of NCR Atleos to indemnify us pursuant to agreements executed in the spin-off; our ability to protect our systems and data from cybersecurity threats (including artificial intelligence) or other technological risks; risks related to evolving global laws and regulations relating to data privacy, data protection and information security; our ability to protect our intellectual property; unexpected costs in connection with environmental liabilities relating to the Company's historical operations;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of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may employ derivatives according to documented policies and procedures, including foreign currency contracts and interest rate swaps. We do not use derivatives for trading or speculative purposes.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Risk</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Since a portion of our operations and revenue occur outside the United States, and in currencies other than the U.S. Dollar, our results can be significantly impacted by changes in foreign currency exchange rates. We have exposure to approximately 25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less than $28 million as of September 30, 2026. A 10% depreciation in the value of the U.S. Dollar against foreign currencies from the prevailing market rates would have resulted in a corresponding increase in the fair value of the hedge portfolio of $31 million as of September 30, 2026. The Company expects that any increase or decrease in the fair value of the portfolio would be substantially offset by increases or decreases in the underlying exposures being hedged.</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U.S. Dollar was stronger in the third quarter of 2026 compared to the third quarter of 2025 based on comparable weighted average exchange rates for our functional currencies. This excludes the effects of our hedging activities and, therefore, does not reflect the actual impact of fluctuations in exchange rates on our operating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Approximately 100% of our borrowings were on a fixed rate basis as of September 30, 2026 and we did not have any outstanding interest rate derivative contracts as of September 30, 2026. We are subject to interest rate risk related to variable-rate debt when we borrow from our Revolving Credit Facility. As of September 30, 2026 and December 31, 2025, we had no borrowings under the facility.</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Historically, we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12, “Derivatives and Hedging Instruments”, for further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Concentrations of Credit Risk</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exposed to potentially significant losses. Moreover, a prolonged downturn in the global economy could have an adverse impact on the ability of our customers to pay their obligations on a timely basis. We believe that the reserves for potential losses are adequate. As of September 30, 2026, we did not have any significant concentration of credit risk related to financial instruments.</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3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September 30, 2026. Based on this evaluation, the Company’s Chief Executive and Chief Financial Officers have concluded that the Company’s disclosure controls and procedures were effective as of September 30, 2026 to provide reasonable assurance that the information required to be disclosed by the Company in reports that it files or submits under the Exchange Act is (i) recorded, processed, summarized and reported within the time periods specified in the SEC rules and forms and (ii) accumulated and communicated to management, including the Company’s Chief Executive and Chief Financial Officers, as appropriate, to allow timely decisions regarding required disclosure.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that occurred during the three months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is included in Note 9, “Commitments and Contingencies”, of the Notes to Condensed Consolidated Financial Statements in this quarterly report and is incorporated herein by reference.</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risk factors and other cautionary statements described under Part I, Item 1A. “Risk Factors” in the Company’s 2025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2025 Annual Report on Form 10-K.</w:t>
      </w:r>
    </w:p>
    <w:p>
      <w:pPr>
        <w:spacing w:after="0" w:line="1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May 2025, the Board of Directors (the “Board”) approved an amended and restated share repurchase program (the “Repurchase Program”), with no expiration from the date of authorization, that provided for a total aggregate repurchase authority of $200 million, to repurchase shares of the Company’s common stock and Series A preferred stock. Taking into account prior repurchases under the Repurchase Program, on February 12, 2026, the Board amended the Repurchase Program to add an incremental $178 million of repurchase authority under the program, which brought the total remaining aggregate repurchase authority under the program at the time to $300 million. As of September 30, 2026, the Repurchase Program had an existing aggregate remaining repurchase authority of $272 million.</w:t>
      </w: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utilize the Repurchase Program from time to time to opportunistically repurchase common stock and Series A preferred stock based on varying factors. The timing and amount of repurchases under the Repurchase Program will depend upon varying factors, including stock price, the Company’s performance, market conditions and other possible uses of cash. Repurchases under the Repurchase Program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Company’s 2026 Stock Incentive Plan and 2017 Stock Incentive Plan allow shares to be surrendered to the Company to satisfy tax withholding obligations associated with the vesting of restricted stock units. The following table sets forth information with respect to our repurchases of shares of common stock (including shares surrendered to satisfy tax withholding) during the three months ended September 30, 2026.</w:t>
      </w:r>
    </w:p>
    <w:tbl>
      <w:tblPr>
        <w:tblLayout w:type="fixed"/>
        <w:tblInd w:w="0" w:type="dxa"/>
        <w:tblCellMar>
          <w:top w:w="0" w:type="dxa"/>
          <w:left w:w="0" w:type="dxa"/>
          <w:bottom w:w="0" w:type="dxa"/>
          <w:right w:w="0" w:type="dxa"/>
        </w:tblCellMar>
      </w:tblPr>
      <w:tr>
        <w:trPr>
          <w:trHeight w:val="168"/>
        </w:trPr>
        <w:tc>
          <w:tcPr>
            <w:tcW w:w="1860" w:type="dxa"/>
            <w:vAlign w:val="bottom"/>
          </w:tcPr>
          <w:p>
            <w:pPr>
              <w:spacing w:after="0"/>
              <w:rPr>
                <w:sz w:val="14"/>
                <w:szCs w:val="14"/>
                <w:color w:val="auto"/>
              </w:rPr>
            </w:pPr>
          </w:p>
        </w:tc>
        <w:tc>
          <w:tcPr>
            <w:tcW w:w="224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Total number of shares purchased as part</w:t>
            </w:r>
          </w:p>
        </w:tc>
        <w:tc>
          <w:tcPr>
            <w:tcW w:w="140" w:type="dxa"/>
            <w:vAlign w:val="bottom"/>
          </w:tcPr>
          <w:p>
            <w:pPr>
              <w:spacing w:after="0"/>
              <w:rPr>
                <w:sz w:val="14"/>
                <w:szCs w:val="14"/>
                <w:color w:val="auto"/>
              </w:rPr>
            </w:pPr>
          </w:p>
        </w:tc>
        <w:tc>
          <w:tcPr>
            <w:tcW w:w="2440" w:type="dxa"/>
            <w:vAlign w:val="bottom"/>
          </w:tcPr>
          <w:p>
            <w:pPr>
              <w:jc w:val="center"/>
              <w:ind w:right="22"/>
              <w:spacing w:after="0" w:line="168" w:lineRule="exact"/>
              <w:rPr>
                <w:sz w:val="20"/>
                <w:szCs w:val="20"/>
                <w:color w:val="auto"/>
              </w:rPr>
            </w:pPr>
            <w:r>
              <w:rPr>
                <w:rFonts w:ascii="Times New Roman" w:cs="Times New Roman" w:eastAsia="Times New Roman" w:hAnsi="Times New Roman"/>
                <w:sz w:val="16"/>
                <w:szCs w:val="16"/>
                <w:b w:val="1"/>
                <w:bCs w:val="1"/>
                <w:color w:val="auto"/>
                <w:w w:val="97"/>
              </w:rPr>
              <w:t>Approximate dollar value of shares</w:t>
            </w:r>
          </w:p>
        </w:tc>
        <w:tc>
          <w:tcPr>
            <w:tcW w:w="0" w:type="dxa"/>
            <w:vAlign w:val="bottom"/>
          </w:tcPr>
          <w:p>
            <w:pPr>
              <w:spacing w:after="0"/>
              <w:rPr>
                <w:sz w:val="1"/>
                <w:szCs w:val="1"/>
                <w:color w:val="auto"/>
              </w:rPr>
            </w:pPr>
          </w:p>
        </w:tc>
      </w:tr>
      <w:tr>
        <w:trPr>
          <w:trHeight w:val="156"/>
        </w:trPr>
        <w:tc>
          <w:tcPr>
            <w:tcW w:w="186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40" w:type="dxa"/>
            <w:vAlign w:val="bottom"/>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25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that may yet be purchased under the</w:t>
            </w:r>
          </w:p>
        </w:tc>
        <w:tc>
          <w:tcPr>
            <w:tcW w:w="0" w:type="dxa"/>
            <w:vAlign w:val="bottom"/>
          </w:tcPr>
          <w:p>
            <w:pPr>
              <w:spacing w:after="0"/>
              <w:rPr>
                <w:sz w:val="1"/>
                <w:szCs w:val="1"/>
                <w:color w:val="auto"/>
              </w:rPr>
            </w:pPr>
          </w:p>
        </w:tc>
      </w:tr>
      <w:tr>
        <w:trPr>
          <w:trHeight w:val="207"/>
        </w:trPr>
        <w:tc>
          <w:tcPr>
            <w:tcW w:w="186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right"/>
              <w:ind w:right="462"/>
              <w:spacing w:after="0" w:line="207"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of publicly announced plans or programs</w:t>
            </w: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center"/>
              <w:ind w:right="22"/>
              <w:spacing w:after="0" w:line="207" w:lineRule="exact"/>
              <w:rPr>
                <w:sz w:val="20"/>
                <w:szCs w:val="20"/>
                <w:color w:val="auto"/>
              </w:rPr>
            </w:pPr>
            <w:r>
              <w:rPr>
                <w:rFonts w:ascii="Times New Roman" w:cs="Times New Roman" w:eastAsia="Times New Roman" w:hAnsi="Times New Roman"/>
                <w:sz w:val="16"/>
                <w:szCs w:val="16"/>
                <w:b w:val="1"/>
                <w:bCs w:val="1"/>
                <w:color w:val="auto"/>
                <w:w w:val="95"/>
              </w:rPr>
              <w:t>plans or programs (in millions)</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13"/>
        </w:trPr>
        <w:tc>
          <w:tcPr>
            <w:tcW w:w="18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7"/>
              </w:rPr>
              <w:t>7/1/2026 - 7/31/2026</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7"/>
        </w:trPr>
        <w:tc>
          <w:tcPr>
            <w:tcW w:w="18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w w:val="97"/>
              </w:rPr>
              <w:t>8/1/2026 - 8/31/2026</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86,025</w:t>
            </w:r>
          </w:p>
        </w:tc>
        <w:tc>
          <w:tcPr>
            <w:tcW w:w="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8.30</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7"/>
              </w:rPr>
              <w:t>9/1/2026 - 9/30/2026</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1,145,569</w:t>
            </w:r>
          </w:p>
        </w:tc>
        <w:tc>
          <w:tcPr>
            <w:tcW w:w="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4"/>
        <w:spacing w:after="0" w:line="382" w:lineRule="auto"/>
        <w:tabs>
          <w:tab w:leader="none" w:pos="143"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September 30, 2026, approximately 97,601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ind w:left="160" w:hanging="156"/>
        <w:spacing w:after="0" w:line="192" w:lineRule="auto"/>
        <w:tabs>
          <w:tab w:leader="none" w:pos="16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amounts available for repurchases under the Repurchase Program as of September 30, 2026.</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Company’s ability to repurchase its common stock and preferred stock is subject to (i) certain restrictions under the terms of the Company’s senior secured revolving credit facility and the indentures governing its senior unsecured notes and (ii) the discretion of the Company’s Board of Directors. These restrictions are described in greater detail in the Company’s senior secured credit facilities and the indentures governing its senior unsecured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fiscal quarter ended September 30, 2026, no director or officer of the Company adopted or terminated a “Rule 10b5-1 trading arrangement” or “non-Rule 10b5-1 trading arrangement,” as each term is defined in Item 408(a) of the SEC’s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Appointments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November 3, 2026, the Board appointed Darren Wilson, (previously the Company’s Executive Vice President and President, Retail and Payments), as President of the Company, effective November 5, 2026 (the “Effective Date”). In connection with Mr. Wilson’s appointment, James G. Kelly will continue to serve as the Company’s Chief Executive Officer and as a member of the Board but will cease to serve as President as of the Effective Date.</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Mr. Wilson, age 59, has served as Executive Vice President and President, Retail and Payments since February 2025. He joined the Company in November 2024 as Executive Vice President and President, International. Before joining the Company, Mr. Wilson served as President, International at EVO Payments, Inc. from April 2014 to March 2023, and earlier held leadership roles at Worldpay UK, Global Payments Inc. and HSBC Banking Group. There are no arrangements or understandings between Mr. Wilson and any other person under which he was selected as President, and he has no family relationships with any director or executive officer of the Company. Mr. Wilson has no direct or indirect material interest in any transaction required to be disclosed under Item 404(a) of Regulation S-K.</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Mr. Wilson’s appointment as President of the Company, on November 4, 2026, the Company and Mr. Wilson entered into an amendment to Mr. Wilson’s Statement of Terms &amp; Conditions of Employment dated November 1, 2024, as amended on February 9, 2025. The amendment provides for: (i) Mr. Wilson’s new title of President; (ii) an increase in his annual base salary to £488,721; (iii) an increase in his annual target long-term incentive award value to $3,000,000; and (iv) if his employment is terminated by the Company without cause, vesting of his equity awards in an amount equal to the greater of 50% or pro rata vesting.</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November 3, 2026, the Board appointed Brendan Tansill as Executive Vice President and President, Retail and Payments of the Company, effective December 14, 2026, succeeding Mr. Wilson in such role.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on November 2, 2026, the Compensation Committee of the Board approved the amendment and restatement of the NCR Voyix Corporation 2024 Executive Severance Plan (as amended and restated, the “Severance Plan”) to create a severance tier for the President of the Company equal to the Chief Financial Officer’s tier (1.5 times base salary plus target bonus for a qualifying termination not connected with a change in control, and 2.0 times base salary plus target bonus for a qualifying termination connected with a change in control).</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foregoing descriptions are summaries and are qualified in their entirety by the full text of the amendment to Mr. Wilson’s employment agreement and the Severance Plan, which are filed as Exhibits 10.1 and 10.2 to this Quarterly Report on Form 10-Q and incorporated herein by reference.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88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63"/>
        </w:trPr>
        <w:tc>
          <w:tcPr>
            <w:tcW w:w="20" w:type="dxa"/>
            <w:vAlign w:val="bottom"/>
          </w:tcPr>
          <w:p>
            <w:pPr>
              <w:spacing w:after="0"/>
              <w:rPr>
                <w:sz w:val="24"/>
                <w:szCs w:val="24"/>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w:t>
            </w:r>
          </w:p>
        </w:tc>
        <w:tc>
          <w:tcPr>
            <w:tcW w:w="320" w:type="dxa"/>
            <w:vAlign w:val="bottom"/>
          </w:tcPr>
          <w:p>
            <w:pPr>
              <w:spacing w:after="0"/>
              <w:rPr>
                <w:sz w:val="24"/>
                <w:szCs w:val="24"/>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Amendment to Employment Contract, dated November 4, 2026, between Darren Wilson and NCR Voyix Corporation.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p>
        </w:tc>
      </w:tr>
      <w:tr>
        <w:trPr>
          <w:trHeight w:val="265"/>
        </w:trPr>
        <w:tc>
          <w:tcPr>
            <w:tcW w:w="20" w:type="dxa"/>
            <w:vAlign w:val="bottom"/>
          </w:tcPr>
          <w:p>
            <w:pPr>
              <w:spacing w:after="0"/>
              <w:rPr>
                <w:sz w:val="23"/>
                <w:szCs w:val="23"/>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w:t>
            </w:r>
          </w:p>
        </w:tc>
        <w:tc>
          <w:tcPr>
            <w:tcW w:w="320" w:type="dxa"/>
            <w:vAlign w:val="bottom"/>
          </w:tcPr>
          <w:p>
            <w:pPr>
              <w:spacing w:after="0"/>
              <w:rPr>
                <w:sz w:val="23"/>
                <w:szCs w:val="23"/>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NCR Voyix Corporation Amended and Restated Executive Severance Plan, adopted November 2, 2026.</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p>
        </w:tc>
      </w:tr>
      <w:tr>
        <w:trPr>
          <w:trHeight w:val="265"/>
        </w:trPr>
        <w:tc>
          <w:tcPr>
            <w:tcW w:w="20" w:type="dxa"/>
            <w:vAlign w:val="bottom"/>
          </w:tcPr>
          <w:p>
            <w:pPr>
              <w:spacing w:after="0"/>
              <w:rPr>
                <w:sz w:val="23"/>
                <w:szCs w:val="23"/>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320" w:type="dxa"/>
            <w:vAlign w:val="bottom"/>
          </w:tcPr>
          <w:p>
            <w:pPr>
              <w:spacing w:after="0"/>
              <w:rPr>
                <w:sz w:val="23"/>
                <w:szCs w:val="23"/>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r>
              <w:rPr>
                <w:rFonts w:ascii="Times New Roman" w:cs="Times New Roman" w:eastAsia="Times New Roman" w:hAnsi="Times New Roman"/>
                <w:sz w:val="15"/>
                <w:szCs w:val="15"/>
                <w:color w:val="auto"/>
              </w:rPr>
              <w:t>†</w:t>
            </w:r>
          </w:p>
        </w:tc>
      </w:tr>
      <w:tr>
        <w:trPr>
          <w:trHeight w:val="265"/>
        </w:trPr>
        <w:tc>
          <w:tcPr>
            <w:tcW w:w="20" w:type="dxa"/>
            <w:vAlign w:val="bottom"/>
          </w:tcPr>
          <w:p>
            <w:pPr>
              <w:spacing w:after="0"/>
              <w:rPr>
                <w:sz w:val="23"/>
                <w:szCs w:val="23"/>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320" w:type="dxa"/>
            <w:vAlign w:val="bottom"/>
          </w:tcPr>
          <w:p>
            <w:pPr>
              <w:spacing w:after="0"/>
              <w:rPr>
                <w:sz w:val="23"/>
                <w:szCs w:val="23"/>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r>
              <w:rPr>
                <w:rFonts w:ascii="Times New Roman" w:cs="Times New Roman" w:eastAsia="Times New Roman" w:hAnsi="Times New Roman"/>
                <w:sz w:val="15"/>
                <w:szCs w:val="15"/>
                <w:color w:val="auto"/>
              </w:rPr>
              <w:t>†</w:t>
            </w:r>
          </w:p>
        </w:tc>
      </w:tr>
    </w:tbl>
    <w:p>
      <w:pPr>
        <w:spacing w:after="0" w:line="85" w:lineRule="exact"/>
        <w:rPr>
          <w:sz w:val="20"/>
          <w:szCs w:val="20"/>
          <w:color w:val="auto"/>
        </w:rPr>
      </w:pPr>
    </w:p>
    <w:p>
      <w:pPr>
        <w:ind w:left="1160" w:hanging="1139"/>
        <w:spacing w:after="0"/>
        <w:tabs>
          <w:tab w:leader="none" w:pos="1160" w:val="left"/>
        </w:tabs>
        <w:numPr>
          <w:ilvl w:val="0"/>
          <w:numId w:val="1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pursuant to 18 U.S.C. Section 1350 as adopted pursuant to Section 906 of the Sarbanes-Oxley Act of 2002.</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jc w:val="both"/>
        <w:ind w:left="1160" w:hanging="1139"/>
        <w:spacing w:after="0" w:line="242" w:lineRule="auto"/>
        <w:tabs>
          <w:tab w:leader="none" w:pos="11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NCR Voyix Corporation’s Quarterly Report on Form 10-Q for the quarter ended September 30, 2026, formatted in iXBRL (Inline Extensible Business Reporting Language): (i) our condensed consolidated statements of operations for the three and nine months ended September 30, 2026 and 2025; (ii) our condensed consolidated statements of comprehensive income (loss) for the three and nine months ended September 30, 2026 and 2025; (iii) our condensed consolidated balance sheets as of September 30, 2026 and December 31, 2025; (iv) our condensed consolidated statements of cash flows for the nine months ended September 30, 2026 and 2025; (v) our condensed consolidated statements of changes in stockholders’ equity (deficit) for the three and nine months ended September 30, 2026 and 2025; and (vi) the notes to our condensed consolidated financial statements.</w:t>
      </w:r>
    </w:p>
    <w:p>
      <w:pPr>
        <w:spacing w:after="0" w:line="85" w:lineRule="exact"/>
        <w:rPr>
          <w:sz w:val="20"/>
          <w:szCs w:val="20"/>
          <w:color w:val="auto"/>
        </w:rPr>
      </w:pPr>
    </w:p>
    <w:p>
      <w:pPr>
        <w:ind w:left="1160" w:hanging="1139"/>
        <w:spacing w:after="0"/>
        <w:tabs>
          <w:tab w:leader="none" w:pos="11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9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Management contracts or compensatory plans/arrangements.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60"/>
          </w:cols>
          <w:pgMar w:left="320" w:top="118" w:right="9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NCR VOYIX CORPORATION</w:t>
      </w:r>
    </w:p>
    <w:p>
      <w:pPr>
        <w:spacing w:after="0" w:line="297" w:lineRule="exact"/>
        <w:rPr>
          <w:sz w:val="20"/>
          <w:szCs w:val="20"/>
          <w:color w:val="auto"/>
        </w:rPr>
      </w:pPr>
    </w:p>
    <w:p>
      <w:pPr>
        <w:ind w:left="260"/>
        <w:spacing w:after="0"/>
        <w:tabs>
          <w:tab w:leader="none" w:pos="5600" w:val="left"/>
          <w:tab w:leader="none" w:pos="8160" w:val="left"/>
        </w:tabs>
        <w:rPr>
          <w:sz w:val="20"/>
          <w:szCs w:val="20"/>
          <w:color w:val="auto"/>
        </w:rPr>
      </w:pPr>
      <w:r>
        <w:rPr>
          <w:rFonts w:ascii="Times New Roman" w:cs="Times New Roman" w:eastAsia="Times New Roman" w:hAnsi="Times New Roman"/>
          <w:sz w:val="17"/>
          <w:szCs w:val="17"/>
          <w:color w:val="auto"/>
        </w:rPr>
        <w:t>Date: November 5,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19050</wp:posOffset>
            </wp:positionV>
            <wp:extent cx="3383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2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James Wise</w:t>
      </w:r>
    </w:p>
    <w:p>
      <w:pPr>
        <w:ind w:left="7280"/>
        <w:spacing w:after="0" w:line="193"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ind w:left="77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00"/>
          </w:cols>
          <w:pgMar w:left="320" w:top="118" w:right="77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color w:val="111111"/>
        </w:rPr>
        <w:t>NCR Limited 4th Floor Capital House 25</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7"/>
          <w:szCs w:val="17"/>
          <w:color w:val="111111"/>
        </w:rPr>
        <w:t>Chapel Street London</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111111"/>
        </w:rPr>
        <w:t>England NW1 50S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111111"/>
        </w:rPr>
        <w:t>November 4, 2026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111111"/>
        </w:rPr>
        <w:t>PRIVATE AND CONFIDENTIAL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111111"/>
        </w:rPr>
        <w:t>Dear Darren,</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111111"/>
        </w:rPr>
        <w:t>Re: Amendment to Employment Contract</w:t>
      </w:r>
    </w:p>
    <w:p>
      <w:pPr>
        <w:spacing w:after="0" w:line="247" w:lineRule="exact"/>
        <w:rPr>
          <w:sz w:val="20"/>
          <w:szCs w:val="20"/>
          <w:color w:val="auto"/>
        </w:rPr>
      </w:pPr>
    </w:p>
    <w:p>
      <w:pPr>
        <w:jc w:val="both"/>
        <w:ind w:firstLine="2"/>
        <w:spacing w:after="0" w:line="273" w:lineRule="auto"/>
        <w:rPr>
          <w:sz w:val="20"/>
          <w:szCs w:val="20"/>
          <w:color w:val="auto"/>
        </w:rPr>
      </w:pPr>
      <w:r>
        <w:rPr>
          <w:rFonts w:ascii="Arial" w:cs="Arial" w:eastAsia="Arial" w:hAnsi="Arial"/>
          <w:sz w:val="17"/>
          <w:szCs w:val="17"/>
          <w:color w:val="111111"/>
        </w:rPr>
        <w:t>We are writing to inform you of an amendment to your employment contract. This letter serves to formally document the changes to your Job Title, Base Salary, Long-Term Equity Award Incentive Program (LTI and Termination Without Cause Vesting, effective from November 5, 2026. Your new terms are defined below:</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111111"/>
        </w:rPr>
        <w:t>Job Title: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111111"/>
        </w:rPr>
        <w:t>Your job title is President of NCR Voyix Corporation (the “Company” or “NCR Voyix”).</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111111"/>
        </w:rPr>
        <w:t>Base Salary:</w:t>
      </w:r>
    </w:p>
    <w:p>
      <w:pPr>
        <w:spacing w:after="0" w:line="79"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111111"/>
        </w:rPr>
        <w:t xml:space="preserve">Your annual base salary is £ 488,721. This will be paid monthly via BACS transfer on the 15th of each month for the current calendar month and </w:t>
      </w:r>
      <w:r>
        <w:rPr>
          <w:rFonts w:ascii="Arial" w:cs="Arial" w:eastAsia="Arial" w:hAnsi="Arial"/>
          <w:sz w:val="17"/>
          <w:szCs w:val="17"/>
          <w:color w:val="282828"/>
        </w:rPr>
        <w:t>is</w:t>
      </w:r>
      <w:r>
        <w:rPr>
          <w:rFonts w:ascii="Arial" w:cs="Arial" w:eastAsia="Arial" w:hAnsi="Arial"/>
          <w:sz w:val="17"/>
          <w:szCs w:val="17"/>
          <w:color w:val="111111"/>
        </w:rPr>
        <w:t xml:space="preserve"> subject to deductions for income tax, employee's national insurance contributions and any other deductions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111111"/>
        </w:rPr>
        <w:t>Long-Term Equity Award Incentive Program (LTI):</w:t>
      </w:r>
    </w:p>
    <w:p>
      <w:pPr>
        <w:spacing w:after="0" w:line="79" w:lineRule="exact"/>
        <w:rPr>
          <w:sz w:val="20"/>
          <w:szCs w:val="20"/>
          <w:color w:val="auto"/>
        </w:rPr>
      </w:pPr>
    </w:p>
    <w:p>
      <w:pPr>
        <w:jc w:val="both"/>
        <w:ind w:firstLine="12"/>
        <w:spacing w:after="0" w:line="264" w:lineRule="auto"/>
        <w:rPr>
          <w:sz w:val="20"/>
          <w:szCs w:val="20"/>
          <w:color w:val="auto"/>
        </w:rPr>
      </w:pPr>
      <w:r>
        <w:rPr>
          <w:rFonts w:ascii="Arial" w:cs="Arial" w:eastAsia="Arial" w:hAnsi="Arial"/>
          <w:sz w:val="17"/>
          <w:szCs w:val="17"/>
          <w:color w:val="111111"/>
        </w:rPr>
        <w:t>As an executive at the Company, you are eligible to participate in the annual LTI Program. Commencing with the 2027 annual grant cycle, your target award for your position is $3,000,000 USD. As an eligible participant, you will be considered for an LTI award based on your individual contributions during the year; your relative performance amongst peers; your future potential to contribute to the Company's success and other factors. LTI awards are discretionary, not guaranteed and are generally granted during first calendar quarter of each year, subject to approval by the Compensation and Human Resource Committee of the Company’s Board of Directors</w:t>
      </w:r>
      <w:r>
        <w:rPr>
          <w:rFonts w:ascii="Arial" w:cs="Arial" w:eastAsia="Arial" w:hAnsi="Arial"/>
          <w:sz w:val="17"/>
          <w:szCs w:val="17"/>
          <w:color w:val="3C3C3C"/>
        </w:rPr>
        <w:t>.</w:t>
      </w:r>
    </w:p>
    <w:p>
      <w:pPr>
        <w:spacing w:after="0" w:line="2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111111"/>
        </w:rPr>
        <w:t>You must be a current employee of NCR Voyix (including your UK employer) on the applicable grant date in order to be eligible to receive any NCR Voyix LTI award. Other award terms are set forth in the plan governing these awards, and you must electronically accept the award agreement each time one is made in order to be eligible to receive its benefit.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Without Cause Vesting:</w:t>
      </w:r>
    </w:p>
    <w:p>
      <w:pPr>
        <w:spacing w:after="0" w:line="247"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111111"/>
        </w:rPr>
        <w:t>For each of your outstanding and future equity awards, in the event of an Involuntary Termination (other than for Cause) (as defined in each applicable equity award agreement), your unvested stock units will vest in an amount equal to the greater of (i) 50% of the total number of stock units granted under such stock award or (ii) the pro rata vesting amount provided in such equity award agreement. All eligible time-based awards will vest immediately in the event of an Involuntary Termination (other than for Cause) at the</w:t>
      </w:r>
    </w:p>
    <w:p>
      <w:pPr>
        <w:sectPr>
          <w:pgSz w:w="11900" w:h="16838" w:orient="portrait"/>
          <w:cols w:equalWidth="0" w:num="1">
            <w:col w:w="10620"/>
          </w:cols>
          <w:pgMar w:left="640" w:top="1367" w:right="639" w:bottom="1440" w:gutter="0" w:footer="0" w:header="0"/>
        </w:sectPr>
      </w:pPr>
    </w:p>
    <w:bookmarkStart w:id="56" w:name="page57"/>
    <w:bookmarkEnd w:id="56"/>
    <w:p>
      <w:pPr>
        <w:ind w:left="320"/>
        <w:spacing w:after="0" w:line="292" w:lineRule="auto"/>
        <w:rPr>
          <w:sz w:val="20"/>
          <w:szCs w:val="20"/>
          <w:color w:val="auto"/>
        </w:rPr>
      </w:pPr>
      <w:r>
        <w:rPr>
          <w:rFonts w:ascii="Arial" w:cs="Arial" w:eastAsia="Arial" w:hAnsi="Arial"/>
          <w:sz w:val="17"/>
          <w:szCs w:val="17"/>
          <w:color w:val="auto"/>
        </w:rPr>
        <w:t>percentage specified above. All eligible performance-based awards will vest at the percentage specified above upon the conclusion of the applicable performance period and based on the Company’s actual performance during each such performance period.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All other terms and conditions of your employment contract remain unchanged.</w:t>
      </w:r>
    </w:p>
    <w:p>
      <w:pPr>
        <w:spacing w:after="0" w:line="245" w:lineRule="exact"/>
        <w:rPr>
          <w:sz w:val="20"/>
          <w:szCs w:val="20"/>
          <w:color w:val="auto"/>
        </w:rPr>
      </w:pPr>
    </w:p>
    <w:p>
      <w:pPr>
        <w:ind w:left="320" w:right="420" w:hanging="3"/>
        <w:spacing w:after="0" w:line="292" w:lineRule="auto"/>
        <w:rPr>
          <w:sz w:val="20"/>
          <w:szCs w:val="20"/>
          <w:color w:val="auto"/>
        </w:rPr>
      </w:pPr>
      <w:r>
        <w:rPr>
          <w:rFonts w:ascii="Arial" w:cs="Arial" w:eastAsia="Arial" w:hAnsi="Arial"/>
          <w:sz w:val="17"/>
          <w:szCs w:val="17"/>
          <w:color w:val="151515"/>
        </w:rPr>
        <w:t>If you have any questions, please do not hesitate to contact Jane Elliott, Chief Human Resources Officer or Jim Kelly, Chief Executive Officer.</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Yours 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Claire Stanfield</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Claire Stanfield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Executive Director, HR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Signed acceptance of amendment to employment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Name: Darren Wilson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Signed: </w:t>
      </w:r>
      <w:r>
        <w:rPr>
          <w:rFonts w:ascii="Arial" w:cs="Arial" w:eastAsia="Arial" w:hAnsi="Arial"/>
          <w:sz w:val="17"/>
          <w:szCs w:val="17"/>
          <w:u w:val="single" w:color="auto"/>
          <w:color w:val="auto"/>
        </w:rPr>
        <w:t>/s/ Darren Wilson</w:t>
      </w: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7"/>
          <w:szCs w:val="17"/>
          <w:color w:val="151515"/>
        </w:rPr>
        <w:t xml:space="preserve">Date: </w:t>
      </w:r>
      <w:r>
        <w:rPr>
          <w:rFonts w:ascii="Arial" w:cs="Arial" w:eastAsia="Arial" w:hAnsi="Arial"/>
          <w:sz w:val="17"/>
          <w:szCs w:val="17"/>
          <w:u w:val="single" w:color="auto"/>
          <w:color w:val="151515"/>
        </w:rPr>
        <w:t>4 November 2026</w:t>
      </w:r>
    </w:p>
    <w:p>
      <w:pPr>
        <w:sectPr>
          <w:pgSz w:w="11900" w:h="16838" w:orient="portrait"/>
          <w:cols w:equalWidth="0" w:num="1">
            <w:col w:w="10920"/>
          </w:cols>
          <w:pgMar w:left="320" w:top="1367" w:right="659" w:bottom="1440" w:gutter="0" w:footer="0" w:header="0"/>
        </w:sectPr>
      </w:pPr>
    </w:p>
    <w:bookmarkStart w:id="57" w:name="page58"/>
    <w:bookmarkEnd w:id="57"/>
    <w:p>
      <w:pPr>
        <w:spacing w:after="0" w:line="15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NCR VOYIX CORPORATION</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AMENDED AND RESTATED EXECUTIVE SEVERANCE PLAN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(Adopted November 2, 2026)</w:t>
      </w:r>
    </w:p>
    <w:p>
      <w:pPr>
        <w:spacing w:after="0" w:line="226" w:lineRule="exact"/>
        <w:rPr>
          <w:sz w:val="20"/>
          <w:szCs w:val="20"/>
          <w:color w:val="auto"/>
        </w:rPr>
      </w:pPr>
    </w:p>
    <w:p>
      <w:pPr>
        <w:ind w:right="140" w:firstLine="622"/>
        <w:spacing w:after="0" w:line="268" w:lineRule="auto"/>
        <w:rPr>
          <w:sz w:val="20"/>
          <w:szCs w:val="20"/>
          <w:color w:val="auto"/>
        </w:rPr>
      </w:pPr>
      <w:r>
        <w:rPr>
          <w:rFonts w:ascii="Times New Roman" w:cs="Times New Roman" w:eastAsia="Times New Roman" w:hAnsi="Times New Roman"/>
          <w:sz w:val="18"/>
          <w:szCs w:val="18"/>
          <w:color w:val="auto"/>
        </w:rPr>
        <w:t>The purpose of the NCR Voyix Corporation Amended and Restated Executive Severance Plan, as amended or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help retain qualified officers and employees of NCR Voyix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through providing them with a higher degree of economic stability in the event of certain qualifying terminations of employment, on the terms and conditions hereinafter stated. The Plan is intended to be “a plan which is unfunded and maintained by an employer primarily for the purpose of providing deferred compensation for a select group of management or highly compensation employees” within the meaning of Sections 201(2), 301(a)(3) and 401(a)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of ERISA. All benefits under the Plan will be paid solely from the general assets of the Company.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As used in the Plan, the following terms shall have the respective meanings set forth below:</w:t>
      </w:r>
    </w:p>
    <w:p>
      <w:pPr>
        <w:spacing w:after="0" w:line="106" w:lineRule="exact"/>
        <w:rPr>
          <w:sz w:val="20"/>
          <w:szCs w:val="20"/>
          <w:color w:val="auto"/>
        </w:rPr>
      </w:pPr>
    </w:p>
    <w:p>
      <w:pPr>
        <w:ind w:right="340" w:firstLine="626"/>
        <w:spacing w:after="0" w:line="290" w:lineRule="auto"/>
        <w:tabs>
          <w:tab w:leader="none" w:pos="1023"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individual or entity, any other individual or entity who, directly or indirectly through one or more intermediaries, controls, is controlled by or is under common control with, such individual or entity.</w:t>
      </w:r>
    </w:p>
    <w:p>
      <w:pPr>
        <w:spacing w:after="0" w:line="29" w:lineRule="exact"/>
        <w:rPr>
          <w:rFonts w:ascii="Times New Roman" w:cs="Times New Roman" w:eastAsia="Times New Roman" w:hAnsi="Times New Roman"/>
          <w:sz w:val="19"/>
          <w:szCs w:val="19"/>
          <w:color w:val="auto"/>
        </w:rPr>
      </w:pPr>
    </w:p>
    <w:p>
      <w:pPr>
        <w:ind w:left="1080" w:hanging="454"/>
        <w:spacing w:after="0"/>
        <w:tabs>
          <w:tab w:leader="none" w:pos="108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Period</w:t>
      </w:r>
      <w:r>
        <w:rPr>
          <w:rFonts w:ascii="Times New Roman" w:cs="Times New Roman" w:eastAsia="Times New Roman" w:hAnsi="Times New Roman"/>
          <w:sz w:val="19"/>
          <w:szCs w:val="19"/>
          <w:color w:val="auto"/>
        </w:rPr>
        <w:t>” means six (6) months immediately following the Date of Termination.</w:t>
      </w:r>
    </w:p>
    <w:p>
      <w:pPr>
        <w:spacing w:after="0" w:line="118" w:lineRule="exact"/>
        <w:rPr>
          <w:rFonts w:ascii="Times New Roman" w:cs="Times New Roman" w:eastAsia="Times New Roman" w:hAnsi="Times New Roman"/>
          <w:sz w:val="19"/>
          <w:szCs w:val="19"/>
          <w:color w:val="auto"/>
        </w:rPr>
      </w:pPr>
    </w:p>
    <w:p>
      <w:pPr>
        <w:ind w:left="1020" w:hanging="394"/>
        <w:spacing w:after="0"/>
        <w:tabs>
          <w:tab w:leader="none" w:pos="102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means</w:t>
      </w:r>
    </w:p>
    <w:p>
      <w:pPr>
        <w:spacing w:after="0" w:line="118" w:lineRule="exact"/>
        <w:rPr>
          <w:rFonts w:ascii="Times New Roman" w:cs="Times New Roman" w:eastAsia="Times New Roman" w:hAnsi="Times New Roman"/>
          <w:sz w:val="19"/>
          <w:szCs w:val="19"/>
          <w:color w:val="auto"/>
        </w:rPr>
      </w:pPr>
    </w:p>
    <w:p>
      <w:pPr>
        <w:ind w:left="1760" w:hanging="263"/>
        <w:spacing w:after="0"/>
        <w:tabs>
          <w:tab w:leader="none" w:pos="1760"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200% for the Chief Executive Officer;</w:t>
      </w:r>
    </w:p>
    <w:p>
      <w:pPr>
        <w:spacing w:after="0" w:line="105" w:lineRule="exact"/>
        <w:rPr>
          <w:rFonts w:ascii="Times New Roman" w:cs="Times New Roman" w:eastAsia="Times New Roman" w:hAnsi="Times New Roman"/>
          <w:sz w:val="19"/>
          <w:szCs w:val="19"/>
          <w:color w:val="auto"/>
        </w:rPr>
      </w:pPr>
    </w:p>
    <w:p>
      <w:pPr>
        <w:ind w:left="1760" w:hanging="263"/>
        <w:spacing w:after="0"/>
        <w:tabs>
          <w:tab w:leader="none" w:pos="1760"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150% for the Chief Financial Officer or the President; or</w:t>
      </w:r>
    </w:p>
    <w:p>
      <w:pPr>
        <w:spacing w:after="0" w:line="118" w:lineRule="exact"/>
        <w:rPr>
          <w:rFonts w:ascii="Times New Roman" w:cs="Times New Roman" w:eastAsia="Times New Roman" w:hAnsi="Times New Roman"/>
          <w:sz w:val="19"/>
          <w:szCs w:val="19"/>
          <w:color w:val="auto"/>
        </w:rPr>
      </w:pPr>
    </w:p>
    <w:p>
      <w:pPr>
        <w:ind w:left="1760" w:hanging="263"/>
        <w:spacing w:after="0"/>
        <w:tabs>
          <w:tab w:leader="none" w:pos="1760"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for any other Eligible Executive Officer.</w:t>
      </w:r>
    </w:p>
    <w:p>
      <w:pPr>
        <w:spacing w:after="0" w:line="105" w:lineRule="exact"/>
        <w:rPr>
          <w:rFonts w:ascii="Times New Roman" w:cs="Times New Roman" w:eastAsia="Times New Roman" w:hAnsi="Times New Roman"/>
          <w:sz w:val="19"/>
          <w:szCs w:val="19"/>
          <w:color w:val="auto"/>
        </w:rPr>
      </w:pPr>
    </w:p>
    <w:p>
      <w:pPr>
        <w:ind w:left="1040" w:hanging="414"/>
        <w:spacing w:after="0"/>
        <w:tabs>
          <w:tab w:leader="none" w:pos="10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means a Participant’s annual salary for all services rendered.</w:t>
      </w:r>
    </w:p>
    <w:p>
      <w:pPr>
        <w:spacing w:after="0" w:line="118" w:lineRule="exact"/>
        <w:rPr>
          <w:rFonts w:ascii="Times New Roman" w:cs="Times New Roman" w:eastAsia="Times New Roman" w:hAnsi="Times New Roman"/>
          <w:sz w:val="19"/>
          <w:szCs w:val="19"/>
          <w:color w:val="auto"/>
        </w:rPr>
      </w:pPr>
    </w:p>
    <w:p>
      <w:pPr>
        <w:ind w:left="1020" w:hanging="394"/>
        <w:spacing w:after="0"/>
        <w:tabs>
          <w:tab w:leader="none" w:pos="102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105" w:lineRule="exact"/>
        <w:rPr>
          <w:rFonts w:ascii="Times New Roman" w:cs="Times New Roman" w:eastAsia="Times New Roman" w:hAnsi="Times New Roman"/>
          <w:sz w:val="19"/>
          <w:szCs w:val="19"/>
          <w:color w:val="auto"/>
        </w:rPr>
      </w:pPr>
    </w:p>
    <w:p>
      <w:pPr>
        <w:ind w:right="400" w:firstLine="626"/>
        <w:spacing w:after="0" w:line="290" w:lineRule="auto"/>
        <w:tabs>
          <w:tab w:leader="none" w:pos="100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Bonus</w:t>
      </w:r>
      <w:r>
        <w:rPr>
          <w:rFonts w:ascii="Times New Roman" w:cs="Times New Roman" w:eastAsia="Times New Roman" w:hAnsi="Times New Roman"/>
          <w:sz w:val="19"/>
          <w:szCs w:val="19"/>
          <w:color w:val="auto"/>
        </w:rPr>
        <w:t>” means the annual short term cash incentive bonus payable pursuant to the MIP or any successor plan or other applicable bonus program upon the attainment of pre-established performance goals approved by the Board or the Compensation Committee.</w:t>
      </w:r>
    </w:p>
    <w:p>
      <w:pPr>
        <w:spacing w:after="0" w:line="42" w:lineRule="exact"/>
        <w:rPr>
          <w:rFonts w:ascii="Times New Roman" w:cs="Times New Roman" w:eastAsia="Times New Roman" w:hAnsi="Times New Roman"/>
          <w:sz w:val="19"/>
          <w:szCs w:val="19"/>
          <w:color w:val="auto"/>
        </w:rPr>
      </w:pPr>
    </w:p>
    <w:p>
      <w:pPr>
        <w:ind w:right="60" w:firstLine="626"/>
        <w:spacing w:after="0" w:line="276" w:lineRule="auto"/>
        <w:tabs>
          <w:tab w:leader="none" w:pos="103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(x) “Cause” as defined in any Individual Agreement, or (y) if there is no Individual Agreement or if it does not define Cause, then, as determined by the Plan Administrator:</w:t>
      </w:r>
    </w:p>
    <w:p>
      <w:pPr>
        <w:spacing w:after="0" w:line="54" w:lineRule="exact"/>
        <w:rPr>
          <w:rFonts w:ascii="Times New Roman" w:cs="Times New Roman" w:eastAsia="Times New Roman" w:hAnsi="Times New Roman"/>
          <w:sz w:val="19"/>
          <w:szCs w:val="19"/>
          <w:color w:val="auto"/>
        </w:rPr>
      </w:pPr>
    </w:p>
    <w:p>
      <w:pPr>
        <w:ind w:left="1800" w:hanging="552"/>
        <w:spacing w:after="0"/>
        <w:tabs>
          <w:tab w:leader="none" w:pos="180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on the part of the Participant to perform substantially such Participant’s employment duties in any material</w:t>
      </w:r>
    </w:p>
    <w:p>
      <w:pPr>
        <w:spacing w:after="0" w:line="23"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respect;</w:t>
      </w:r>
    </w:p>
    <w:p>
      <w:pPr>
        <w:spacing w:after="0" w:line="96" w:lineRule="exact"/>
        <w:rPr>
          <w:rFonts w:ascii="Times New Roman" w:cs="Times New Roman" w:eastAsia="Times New Roman" w:hAnsi="Times New Roman"/>
          <w:sz w:val="19"/>
          <w:szCs w:val="19"/>
          <w:color w:val="auto"/>
        </w:rPr>
      </w:pPr>
    </w:p>
    <w:p>
      <w:pPr>
        <w:ind w:left="620" w:firstLine="628"/>
        <w:spacing w:after="0" w:line="266" w:lineRule="auto"/>
        <w:tabs>
          <w:tab w:leader="none" w:pos="1855"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Participant’s breach or violation, in any material respect, of any agreement between the Participant and the Company or any Affiliate or the Company’s Code of Conduct or any other material policy of the Company or any Affiliate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40"/>
          </w:cols>
          <w:pgMar w:left="320" w:top="1440" w:right="339" w:bottom="1440" w:gutter="0" w:footer="0" w:header="0"/>
        </w:sectPr>
      </w:pPr>
    </w:p>
    <w:bookmarkStart w:id="58" w:name="page59"/>
    <w:bookmarkEnd w:id="58"/>
    <w:p>
      <w:pPr>
        <w:ind w:left="620" w:right="460" w:firstLine="622"/>
        <w:spacing w:after="0" w:line="334" w:lineRule="auto"/>
        <w:rPr>
          <w:sz w:val="20"/>
          <w:szCs w:val="20"/>
          <w:color w:val="auto"/>
        </w:rPr>
      </w:pPr>
      <w:r>
        <w:rPr>
          <w:rFonts w:ascii="Times New Roman" w:cs="Times New Roman" w:eastAsia="Times New Roman" w:hAnsi="Times New Roman"/>
          <w:sz w:val="19"/>
          <w:szCs w:val="19"/>
          <w:color w:val="auto"/>
        </w:rPr>
        <w:t>(iii) the Participant’s commission of a material act of dishonesty or breach of trust with regard to the Company or any of its Affiliates; or</w:t>
      </w:r>
    </w:p>
    <w:p>
      <w:pPr>
        <w:spacing w:after="0" w:line="1" w:lineRule="exact"/>
        <w:rPr>
          <w:sz w:val="20"/>
          <w:szCs w:val="20"/>
          <w:color w:val="auto"/>
        </w:rPr>
      </w:pPr>
    </w:p>
    <w:p>
      <w:pPr>
        <w:ind w:left="1720" w:hanging="472"/>
        <w:spacing w:after="0"/>
        <w:tabs>
          <w:tab w:leader="none" w:pos="1720"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Participant’s indictment for, or plea of guilty or nolo contendere to, a felony or other crime of moral turpitude.</w:t>
      </w:r>
    </w:p>
    <w:p>
      <w:pPr>
        <w:spacing w:after="0" w:line="170" w:lineRule="exact"/>
        <w:rPr>
          <w:rFonts w:ascii="Times New Roman" w:cs="Times New Roman" w:eastAsia="Times New Roman" w:hAnsi="Times New Roman"/>
          <w:sz w:val="19"/>
          <w:szCs w:val="19"/>
          <w:color w:val="auto"/>
        </w:rPr>
      </w:pPr>
    </w:p>
    <w:p>
      <w:pPr>
        <w:ind w:left="1040" w:hanging="414"/>
        <w:spacing w:after="0"/>
        <w:tabs>
          <w:tab w:leader="none" w:pos="10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CIC Applicable Percentage</w:t>
      </w:r>
      <w:r>
        <w:rPr>
          <w:rFonts w:ascii="Times New Roman" w:cs="Times New Roman" w:eastAsia="Times New Roman" w:hAnsi="Times New Roman"/>
          <w:sz w:val="19"/>
          <w:szCs w:val="19"/>
          <w:color w:val="auto"/>
        </w:rPr>
        <w:t>” means:</w:t>
      </w:r>
    </w:p>
    <w:p>
      <w:pPr>
        <w:spacing w:after="0" w:line="157" w:lineRule="exact"/>
        <w:rPr>
          <w:rFonts w:ascii="Times New Roman" w:cs="Times New Roman" w:eastAsia="Times New Roman" w:hAnsi="Times New Roman"/>
          <w:sz w:val="19"/>
          <w:szCs w:val="19"/>
          <w:color w:val="auto"/>
        </w:rPr>
      </w:pPr>
    </w:p>
    <w:p>
      <w:pPr>
        <w:ind w:left="1760" w:hanging="263"/>
        <w:spacing w:after="0"/>
        <w:tabs>
          <w:tab w:leader="none" w:pos="1760"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250% for the Chief Executive Officer; or</w:t>
      </w:r>
    </w:p>
    <w:p>
      <w:pPr>
        <w:spacing w:after="0" w:line="170" w:lineRule="exact"/>
        <w:rPr>
          <w:rFonts w:ascii="Times New Roman" w:cs="Times New Roman" w:eastAsia="Times New Roman" w:hAnsi="Times New Roman"/>
          <w:sz w:val="19"/>
          <w:szCs w:val="19"/>
          <w:color w:val="auto"/>
        </w:rPr>
      </w:pPr>
    </w:p>
    <w:p>
      <w:pPr>
        <w:ind w:left="1760" w:hanging="263"/>
        <w:spacing w:after="0"/>
        <w:tabs>
          <w:tab w:leader="none" w:pos="1760"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200% for any other Eligible Executive.</w:t>
      </w:r>
    </w:p>
    <w:p>
      <w:pPr>
        <w:spacing w:after="0" w:line="157" w:lineRule="exact"/>
        <w:rPr>
          <w:rFonts w:ascii="Times New Roman" w:cs="Times New Roman" w:eastAsia="Times New Roman" w:hAnsi="Times New Roman"/>
          <w:sz w:val="19"/>
          <w:szCs w:val="19"/>
          <w:color w:val="auto"/>
        </w:rPr>
      </w:pPr>
    </w:p>
    <w:p>
      <w:pPr>
        <w:ind w:left="1000" w:hanging="374"/>
        <w:spacing w:after="0"/>
        <w:tabs>
          <w:tab w:leader="none" w:pos="10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is as defined in the NCR Voyix Corporation 2026 Stock Incentive Plan, as may be amended and/or restated from</w:t>
      </w:r>
    </w:p>
    <w:p>
      <w:pPr>
        <w:spacing w:after="0" w:line="3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time to time.</w:t>
      </w:r>
    </w:p>
    <w:p>
      <w:pPr>
        <w:spacing w:after="0" w:line="154" w:lineRule="exact"/>
        <w:rPr>
          <w:rFonts w:ascii="Times New Roman" w:cs="Times New Roman" w:eastAsia="Times New Roman" w:hAnsi="Times New Roman"/>
          <w:sz w:val="19"/>
          <w:szCs w:val="19"/>
          <w:color w:val="auto"/>
        </w:rPr>
      </w:pPr>
    </w:p>
    <w:p>
      <w:pPr>
        <w:ind w:left="1000" w:hanging="374"/>
        <w:spacing w:after="0"/>
        <w:tabs>
          <w:tab w:leader="none" w:pos="10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means the Consolidated Omnibus Budget Reconciliation Act of 1985, as amended.</w:t>
      </w:r>
    </w:p>
    <w:p>
      <w:pPr>
        <w:spacing w:after="0" w:line="157" w:lineRule="exact"/>
        <w:rPr>
          <w:rFonts w:ascii="Times New Roman" w:cs="Times New Roman" w:eastAsia="Times New Roman" w:hAnsi="Times New Roman"/>
          <w:sz w:val="19"/>
          <w:szCs w:val="19"/>
          <w:color w:val="auto"/>
        </w:rPr>
      </w:pPr>
    </w:p>
    <w:p>
      <w:pPr>
        <w:ind w:left="1080" w:hanging="454"/>
        <w:spacing w:after="0"/>
        <w:tabs>
          <w:tab w:leader="none" w:pos="108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U.S. Internal Revenue Code of 1986, as amended and the regulations and guidance promulgated thereunder.</w:t>
      </w:r>
    </w:p>
    <w:p>
      <w:pPr>
        <w:spacing w:after="0" w:line="170" w:lineRule="exact"/>
        <w:rPr>
          <w:rFonts w:ascii="Times New Roman" w:cs="Times New Roman" w:eastAsia="Times New Roman" w:hAnsi="Times New Roman"/>
          <w:sz w:val="19"/>
          <w:szCs w:val="19"/>
          <w:color w:val="auto"/>
        </w:rPr>
      </w:pPr>
    </w:p>
    <w:p>
      <w:pPr>
        <w:ind w:left="1000" w:hanging="374"/>
        <w:spacing w:after="0"/>
        <w:tabs>
          <w:tab w:leader="none" w:pos="10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means the Compensation and Human Resources Committee of the Board.</w:t>
      </w:r>
    </w:p>
    <w:p>
      <w:pPr>
        <w:spacing w:after="0" w:line="157" w:lineRule="exact"/>
        <w:rPr>
          <w:rFonts w:ascii="Times New Roman" w:cs="Times New Roman" w:eastAsia="Times New Roman" w:hAnsi="Times New Roman"/>
          <w:sz w:val="19"/>
          <w:szCs w:val="19"/>
          <w:color w:val="auto"/>
        </w:rPr>
      </w:pPr>
    </w:p>
    <w:p>
      <w:pPr>
        <w:ind w:left="1100" w:hanging="474"/>
        <w:spacing w:after="0"/>
        <w:tabs>
          <w:tab w:leader="none" w:pos="11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means the date on which a Participant’s employment by the Company or any of its Affiliates terminates.</w:t>
      </w:r>
    </w:p>
    <w:p>
      <w:pPr>
        <w:spacing w:after="0" w:line="170" w:lineRule="exact"/>
        <w:rPr>
          <w:rFonts w:ascii="Times New Roman" w:cs="Times New Roman" w:eastAsia="Times New Roman" w:hAnsi="Times New Roman"/>
          <w:sz w:val="19"/>
          <w:szCs w:val="19"/>
          <w:color w:val="auto"/>
        </w:rPr>
      </w:pPr>
    </w:p>
    <w:p>
      <w:pPr>
        <w:ind w:right="60" w:firstLine="626"/>
        <w:spacing w:after="0" w:line="257" w:lineRule="auto"/>
        <w:tabs>
          <w:tab w:leader="none" w:pos="103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the Participant has suffered a physical or mental illness or injury that has (i) impaired the Participant’s ability to substantially perform the Participant’s full-time duties with the Company or an Affiliate with or without reasonable accommodation for a period of one-hundred eighty (180) consecutive or nonconsecutive days in a twelve (12) month period; (ii) qualifies the Participant for benefits under the Company’s long-term disability plan, including any eligibility or elimination period; and (iii) the Participant shall not have returned to full-time employment with the Company or any of its Affiliates.</w:t>
      </w:r>
    </w:p>
    <w:p>
      <w:pPr>
        <w:spacing w:after="0" w:line="126" w:lineRule="exact"/>
        <w:rPr>
          <w:rFonts w:ascii="Times New Roman" w:cs="Times New Roman" w:eastAsia="Times New Roman" w:hAnsi="Times New Roman"/>
          <w:sz w:val="19"/>
          <w:szCs w:val="19"/>
          <w:color w:val="auto"/>
        </w:rPr>
      </w:pPr>
    </w:p>
    <w:p>
      <w:pPr>
        <w:ind w:right="240" w:firstLine="626"/>
        <w:spacing w:after="0" w:line="266" w:lineRule="auto"/>
        <w:tabs>
          <w:tab w:leader="none" w:pos="103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Executive</w:t>
      </w:r>
      <w:r>
        <w:rPr>
          <w:rFonts w:ascii="Times New Roman" w:cs="Times New Roman" w:eastAsia="Times New Roman" w:hAnsi="Times New Roman"/>
          <w:sz w:val="19"/>
          <w:szCs w:val="19"/>
          <w:color w:val="auto"/>
        </w:rPr>
        <w:t>” means: (i) any full-time employee of the Company or one of its Affiliates who has been designated as an “Executive Officer” or as a Section 16 Officer of the Company; (ii) any Executive Vice President of the Company directly reporting to the Chief Executive Officer; and (iii) any other Executive Vice President of the Company directly reporting to the Company’s President.</w:t>
      </w:r>
    </w:p>
    <w:p>
      <w:pPr>
        <w:spacing w:after="0" w:line="116" w:lineRule="exact"/>
        <w:rPr>
          <w:rFonts w:ascii="Times New Roman" w:cs="Times New Roman" w:eastAsia="Times New Roman" w:hAnsi="Times New Roman"/>
          <w:sz w:val="19"/>
          <w:szCs w:val="19"/>
          <w:color w:val="auto"/>
        </w:rPr>
      </w:pPr>
    </w:p>
    <w:p>
      <w:pPr>
        <w:ind w:left="1040" w:hanging="414"/>
        <w:spacing w:after="0"/>
        <w:tabs>
          <w:tab w:leader="none" w:pos="10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Award</w:t>
      </w:r>
      <w:r>
        <w:rPr>
          <w:rFonts w:ascii="Times New Roman" w:cs="Times New Roman" w:eastAsia="Times New Roman" w:hAnsi="Times New Roman"/>
          <w:sz w:val="19"/>
          <w:szCs w:val="19"/>
          <w:color w:val="auto"/>
        </w:rPr>
        <w:t>” means any award granted pursuant to an Equity Plan.</w:t>
      </w:r>
    </w:p>
    <w:p>
      <w:pPr>
        <w:spacing w:after="0" w:line="157" w:lineRule="exact"/>
        <w:rPr>
          <w:rFonts w:ascii="Times New Roman" w:cs="Times New Roman" w:eastAsia="Times New Roman" w:hAnsi="Times New Roman"/>
          <w:sz w:val="19"/>
          <w:szCs w:val="19"/>
          <w:color w:val="auto"/>
        </w:rPr>
      </w:pPr>
    </w:p>
    <w:p>
      <w:pPr>
        <w:ind w:firstLine="626"/>
        <w:spacing w:after="0" w:line="273" w:lineRule="auto"/>
        <w:tabs>
          <w:tab w:leader="none" w:pos="103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Plan</w:t>
      </w:r>
      <w:r>
        <w:rPr>
          <w:rFonts w:ascii="Times New Roman" w:cs="Times New Roman" w:eastAsia="Times New Roman" w:hAnsi="Times New Roman"/>
          <w:sz w:val="19"/>
          <w:szCs w:val="19"/>
          <w:color w:val="auto"/>
        </w:rPr>
        <w:t>” means any equity incentive plan maintained by the Company from time to time under which a Participant has been granted an equity-based incentive award, including, without limitation, the NCR Voyix Corporation 2026 Stock Incentive Plan, as may be amended and/or restated from time to time.</w:t>
      </w:r>
    </w:p>
    <w:p>
      <w:pPr>
        <w:spacing w:after="0" w:line="97" w:lineRule="exact"/>
        <w:rPr>
          <w:rFonts w:ascii="Times New Roman" w:cs="Times New Roman" w:eastAsia="Times New Roman" w:hAnsi="Times New Roman"/>
          <w:sz w:val="19"/>
          <w:szCs w:val="19"/>
          <w:color w:val="auto"/>
        </w:rPr>
      </w:pPr>
    </w:p>
    <w:p>
      <w:pPr>
        <w:ind w:left="1000" w:hanging="374"/>
        <w:spacing w:after="0"/>
        <w:tabs>
          <w:tab w:leader="none" w:pos="10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w:t>
      </w:r>
    </w:p>
    <w:p>
      <w:pPr>
        <w:spacing w:after="0" w:line="170" w:lineRule="exact"/>
        <w:rPr>
          <w:rFonts w:ascii="Times New Roman" w:cs="Times New Roman" w:eastAsia="Times New Roman" w:hAnsi="Times New Roman"/>
          <w:sz w:val="19"/>
          <w:szCs w:val="19"/>
          <w:color w:val="auto"/>
        </w:rPr>
      </w:pPr>
    </w:p>
    <w:p>
      <w:pPr>
        <w:ind w:left="1020" w:hanging="394"/>
        <w:spacing w:after="0"/>
        <w:tabs>
          <w:tab w:leader="none" w:pos="10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means the excise tax imposed by Section 4999 of the Code.</w:t>
      </w:r>
    </w:p>
    <w:p>
      <w:pPr>
        <w:spacing w:after="0" w:line="157" w:lineRule="exact"/>
        <w:rPr>
          <w:rFonts w:ascii="Times New Roman" w:cs="Times New Roman" w:eastAsia="Times New Roman" w:hAnsi="Times New Roman"/>
          <w:sz w:val="19"/>
          <w:szCs w:val="19"/>
          <w:color w:val="auto"/>
        </w:rPr>
      </w:pPr>
    </w:p>
    <w:p>
      <w:pPr>
        <w:ind w:right="160" w:firstLine="626"/>
        <w:spacing w:after="0" w:line="290" w:lineRule="auto"/>
        <w:tabs>
          <w:tab w:leader="none" w:pos="99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(x) “Good Reason” as defined in any Individual Agreement, or (y) if there is no Individual Agreement or if it does not define Good Reason, then the occurrence of any of the following events, without the Participant’s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20"/>
          </w:cols>
          <w:pgMar w:left="320" w:top="1413" w:right="359" w:bottom="1440" w:gutter="0" w:footer="0" w:header="0"/>
        </w:sectPr>
      </w:pPr>
    </w:p>
    <w:bookmarkStart w:id="59" w:name="page60"/>
    <w:bookmarkEnd w:id="59"/>
    <w:p>
      <w:pPr>
        <w:ind w:left="1780" w:hanging="552"/>
        <w:spacing w:after="0"/>
        <w:tabs>
          <w:tab w:leader="none" w:pos="17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the Participant’s title;</w:t>
      </w:r>
    </w:p>
    <w:p>
      <w:pPr>
        <w:spacing w:after="0" w:line="118" w:lineRule="exact"/>
        <w:rPr>
          <w:rFonts w:ascii="Times New Roman" w:cs="Times New Roman" w:eastAsia="Times New Roman" w:hAnsi="Times New Roman"/>
          <w:sz w:val="19"/>
          <w:szCs w:val="19"/>
          <w:color w:val="auto"/>
        </w:rPr>
      </w:pPr>
    </w:p>
    <w:p>
      <w:pPr>
        <w:ind w:left="600" w:right="340" w:firstLine="628"/>
        <w:spacing w:after="0" w:line="276" w:lineRule="auto"/>
        <w:tabs>
          <w:tab w:leader="none" w:pos="1835"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by the Company of: (A) the Participant’s then-current base salary (unless a similar reduction is made in the salary of the majority of the Company’s senior executive team) or (B) the Participant’s then current Target Bonus;</w:t>
      </w:r>
    </w:p>
    <w:p>
      <w:pPr>
        <w:spacing w:after="0" w:line="54" w:lineRule="exact"/>
        <w:rPr>
          <w:rFonts w:ascii="Times New Roman" w:cs="Times New Roman" w:eastAsia="Times New Roman" w:hAnsi="Times New Roman"/>
          <w:sz w:val="19"/>
          <w:szCs w:val="19"/>
          <w:color w:val="auto"/>
        </w:rPr>
      </w:pPr>
    </w:p>
    <w:p>
      <w:pPr>
        <w:ind w:left="600" w:right="120" w:firstLine="628"/>
        <w:spacing w:after="0" w:line="266"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relocation of the Participant’s principal business location to an area outside a fifty (50) mile radius of its location as of the date the Participant is selected to participate in the Plan, or if the Participant is located at the Company’s headquarters as of the date the Participant is selected to participate in the Plan, the moving of the Participant from the Company’s headquarters; or</w:t>
      </w:r>
    </w:p>
    <w:p>
      <w:pPr>
        <w:spacing w:after="0" w:line="64" w:lineRule="exact"/>
        <w:rPr>
          <w:rFonts w:ascii="Times New Roman" w:cs="Times New Roman" w:eastAsia="Times New Roman" w:hAnsi="Times New Roman"/>
          <w:sz w:val="19"/>
          <w:szCs w:val="19"/>
          <w:color w:val="auto"/>
        </w:rPr>
      </w:pPr>
    </w:p>
    <w:p>
      <w:pPr>
        <w:ind w:left="600" w:firstLine="628"/>
        <w:spacing w:after="0" w:line="276" w:lineRule="auto"/>
        <w:tabs>
          <w:tab w:leader="none" w:pos="168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breach by the Company of the terms of the Participant’s Individual Agreement, this Plan, the Equity Plan or any Equity Award agreement.</w:t>
      </w:r>
    </w:p>
    <w:p>
      <w:pPr>
        <w:spacing w:after="0" w:line="55" w:lineRule="exact"/>
        <w:rPr>
          <w:sz w:val="20"/>
          <w:szCs w:val="20"/>
          <w:color w:val="auto"/>
        </w:rPr>
      </w:pPr>
    </w:p>
    <w:p>
      <w:pPr>
        <w:ind w:left="360" w:right="240"/>
        <w:spacing w:after="0" w:line="257" w:lineRule="auto"/>
        <w:rPr>
          <w:sz w:val="20"/>
          <w:szCs w:val="20"/>
          <w:color w:val="auto"/>
        </w:rPr>
      </w:pPr>
      <w:r>
        <w:rPr>
          <w:rFonts w:ascii="Times New Roman" w:cs="Times New Roman" w:eastAsia="Times New Roman" w:hAnsi="Times New Roman"/>
          <w:sz w:val="19"/>
          <w:szCs w:val="19"/>
          <w:color w:val="auto"/>
        </w:rPr>
        <w:t>For purposes of this Plan, any event described above shall constitute Good Reason only if: (A) within thirty (90) days following the date on which the Participant has knowledge of the occurrence of the event, the Participant has delivered written notice to the Company of the Participant’s intention to terminate the Participant’s employment for Good Reason, (B) the Company fails to cure such circumstances (if susceptible to cure) within thirty (30) days following receipt of such notice and (C) the Participant’s employment terminates within one-hundred fifty (150) days from the date on which such Participant has knowledge of the occurrence of the event giving rise to Good Reason.</w:t>
      </w:r>
    </w:p>
    <w:p>
      <w:pPr>
        <w:spacing w:after="0" w:line="75" w:lineRule="exact"/>
        <w:rPr>
          <w:sz w:val="20"/>
          <w:szCs w:val="20"/>
          <w:color w:val="auto"/>
        </w:rPr>
      </w:pPr>
    </w:p>
    <w:p>
      <w:pPr>
        <w:ind w:left="-20" w:right="400" w:firstLine="626"/>
        <w:spacing w:after="0" w:line="276" w:lineRule="auto"/>
        <w:tabs>
          <w:tab w:leader="none" w:pos="101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Individual Agreement</w:t>
      </w:r>
      <w:r>
        <w:rPr>
          <w:rFonts w:ascii="Times New Roman" w:cs="Times New Roman" w:eastAsia="Times New Roman" w:hAnsi="Times New Roman"/>
          <w:sz w:val="19"/>
          <w:szCs w:val="19"/>
          <w:color w:val="auto"/>
        </w:rPr>
        <w:t>” means an individual employment agreement, offer letter or other contract containing employment terms between a Participant and the Company or an Affiliate.</w:t>
      </w:r>
    </w:p>
    <w:p>
      <w:pPr>
        <w:spacing w:after="0" w:line="54" w:lineRule="exact"/>
        <w:rPr>
          <w:rFonts w:ascii="Times New Roman" w:cs="Times New Roman" w:eastAsia="Times New Roman" w:hAnsi="Times New Roman"/>
          <w:sz w:val="19"/>
          <w:szCs w:val="19"/>
          <w:color w:val="auto"/>
        </w:rPr>
      </w:pPr>
    </w:p>
    <w:p>
      <w:pPr>
        <w:ind w:left="1020" w:hanging="414"/>
        <w:spacing w:after="0"/>
        <w:tabs>
          <w:tab w:leader="none" w:pos="10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MIP</w:t>
      </w:r>
      <w:r>
        <w:rPr>
          <w:rFonts w:ascii="Times New Roman" w:cs="Times New Roman" w:eastAsia="Times New Roman" w:hAnsi="Times New Roman"/>
          <w:sz w:val="19"/>
          <w:szCs w:val="19"/>
          <w:color w:val="auto"/>
        </w:rPr>
        <w:t>” means the NCR Voyix Corporation Management Incentive Program, as may amended and/or restated from time to time.</w:t>
      </w:r>
    </w:p>
    <w:p>
      <w:pPr>
        <w:spacing w:after="0" w:line="118" w:lineRule="exact"/>
        <w:rPr>
          <w:rFonts w:ascii="Times New Roman" w:cs="Times New Roman" w:eastAsia="Times New Roman" w:hAnsi="Times New Roman"/>
          <w:sz w:val="19"/>
          <w:szCs w:val="19"/>
          <w:color w:val="auto"/>
        </w:rPr>
      </w:pPr>
    </w:p>
    <w:p>
      <w:pPr>
        <w:ind w:left="-20" w:right="420" w:firstLine="626"/>
        <w:spacing w:after="0" w:line="276" w:lineRule="auto"/>
        <w:tabs>
          <w:tab w:leader="none" w:pos="1056"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any Eligible Executive who is selected to be a participant in the Plan by action of the Plan Administrator as specified herein.</w:t>
      </w:r>
    </w:p>
    <w:p>
      <w:pPr>
        <w:spacing w:after="0" w:line="54" w:lineRule="exact"/>
        <w:rPr>
          <w:rFonts w:ascii="Times New Roman" w:cs="Times New Roman" w:eastAsia="Times New Roman" w:hAnsi="Times New Roman"/>
          <w:sz w:val="19"/>
          <w:szCs w:val="19"/>
          <w:color w:val="auto"/>
        </w:rPr>
      </w:pPr>
    </w:p>
    <w:p>
      <w:pPr>
        <w:ind w:left="-20" w:right="160" w:firstLine="626"/>
        <w:spacing w:after="0" w:line="276" w:lineRule="auto"/>
        <w:tabs>
          <w:tab w:leader="none" w:pos="101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Administrator</w:t>
      </w:r>
      <w:r>
        <w:rPr>
          <w:rFonts w:ascii="Times New Roman" w:cs="Times New Roman" w:eastAsia="Times New Roman" w:hAnsi="Times New Roman"/>
          <w:sz w:val="19"/>
          <w:szCs w:val="19"/>
          <w:color w:val="auto"/>
        </w:rPr>
        <w:t>” means the Compensation Committee or such other person or committee duly authorized by the Compensation Committee to administer the Plan.</w:t>
      </w:r>
    </w:p>
    <w:p>
      <w:pPr>
        <w:spacing w:after="0" w:line="54" w:lineRule="exact"/>
        <w:rPr>
          <w:rFonts w:ascii="Times New Roman" w:cs="Times New Roman" w:eastAsia="Times New Roman" w:hAnsi="Times New Roman"/>
          <w:sz w:val="19"/>
          <w:szCs w:val="19"/>
          <w:color w:val="auto"/>
        </w:rPr>
      </w:pPr>
    </w:p>
    <w:p>
      <w:pPr>
        <w:ind w:left="-20" w:right="120" w:firstLine="626"/>
        <w:spacing w:after="0" w:line="266" w:lineRule="auto"/>
        <w:tabs>
          <w:tab w:leader="none" w:pos="101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Post-Employment Restrictive Covenants and other Obligations</w:t>
      </w:r>
      <w:r>
        <w:rPr>
          <w:rFonts w:ascii="Times New Roman" w:cs="Times New Roman" w:eastAsia="Times New Roman" w:hAnsi="Times New Roman"/>
          <w:sz w:val="19"/>
          <w:szCs w:val="19"/>
          <w:color w:val="auto"/>
        </w:rPr>
        <w:t>” means the restrictive covenants and other obligations applicable to the Participant and contained in the Company’s Confidentiality and Restrictive Covenant Agreement, the Release or, as applicable, in the Participant’s Individual Agreement.</w:t>
      </w:r>
    </w:p>
    <w:p>
      <w:pPr>
        <w:spacing w:after="0" w:line="64" w:lineRule="exact"/>
        <w:rPr>
          <w:rFonts w:ascii="Times New Roman" w:cs="Times New Roman" w:eastAsia="Times New Roman" w:hAnsi="Times New Roman"/>
          <w:sz w:val="19"/>
          <w:szCs w:val="19"/>
          <w:color w:val="auto"/>
        </w:rPr>
      </w:pPr>
    </w:p>
    <w:p>
      <w:pPr>
        <w:ind w:left="-20" w:right="140" w:firstLine="626"/>
        <w:spacing w:after="0" w:line="266" w:lineRule="auto"/>
        <w:tabs>
          <w:tab w:leader="none" w:pos="100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Termination</w:t>
      </w:r>
      <w:r>
        <w:rPr>
          <w:rFonts w:ascii="Times New Roman" w:cs="Times New Roman" w:eastAsia="Times New Roman" w:hAnsi="Times New Roman"/>
          <w:sz w:val="19"/>
          <w:szCs w:val="19"/>
          <w:color w:val="auto"/>
        </w:rPr>
        <w:t>” means a (i) termination of the Participant’s employment by the Company other than for Cause, death or Disability or (ii) termination of the Participant’s employment as a result of a resignation by the Participant for Good Reason. For the avoidance of doubt, a termination of the Participant’s employment due to Participant’s death or Disability is not a Qualifying Termination.</w:t>
      </w:r>
    </w:p>
    <w:p>
      <w:pPr>
        <w:spacing w:after="0" w:line="51" w:lineRule="exact"/>
        <w:rPr>
          <w:sz w:val="20"/>
          <w:szCs w:val="20"/>
          <w:color w:val="auto"/>
        </w:rPr>
      </w:pPr>
    </w:p>
    <w:p>
      <w:pPr>
        <w:ind w:left="-20" w:right="40" w:firstLine="626"/>
        <w:spacing w:after="0" w:line="273" w:lineRule="auto"/>
        <w:tabs>
          <w:tab w:leader="none" w:pos="108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Bonus</w:t>
      </w:r>
      <w:r>
        <w:rPr>
          <w:rFonts w:ascii="Times New Roman" w:cs="Times New Roman" w:eastAsia="Times New Roman" w:hAnsi="Times New Roman"/>
          <w:sz w:val="19"/>
          <w:szCs w:val="19"/>
          <w:color w:val="auto"/>
        </w:rPr>
        <w:t>” means, with respect to any year, the amount of the target incentive Bonus for such year that is established for the Participant by the Board or the Compensation Committee (or by the Company in respect of any individual for whom the target incentive Bonus for such year is not established by the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00"/>
          </w:cols>
          <w:pgMar w:left="340" w:top="1361" w:right="35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PARTICIPATION AND SCOPE OF SEVERANCE BENEFITS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Section 2.01 Participation in the Plan</w:t>
      </w:r>
      <w:r>
        <w:rPr>
          <w:rFonts w:ascii="Times New Roman" w:cs="Times New Roman" w:eastAsia="Times New Roman" w:hAnsi="Times New Roman"/>
          <w:sz w:val="19"/>
          <w:szCs w:val="19"/>
          <w:color w:val="auto"/>
        </w:rPr>
        <w:t>.</w:t>
      </w:r>
    </w:p>
    <w:p>
      <w:pPr>
        <w:spacing w:after="0" w:line="119" w:lineRule="exact"/>
        <w:rPr>
          <w:sz w:val="20"/>
          <w:szCs w:val="20"/>
          <w:color w:val="auto"/>
        </w:rPr>
      </w:pPr>
    </w:p>
    <w:p>
      <w:pPr>
        <w:ind w:left="1020" w:hanging="394"/>
        <w:spacing w:after="0"/>
        <w:tabs>
          <w:tab w:leader="none" w:pos="10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2.02 hereof, any Eligible Executive shall be a Participant in the Plan.</w:t>
      </w:r>
    </w:p>
    <w:p>
      <w:pPr>
        <w:spacing w:after="0" w:line="105" w:lineRule="exact"/>
        <w:rPr>
          <w:rFonts w:ascii="Times New Roman" w:cs="Times New Roman" w:eastAsia="Times New Roman" w:hAnsi="Times New Roman"/>
          <w:sz w:val="19"/>
          <w:szCs w:val="19"/>
          <w:color w:val="auto"/>
        </w:rPr>
      </w:pPr>
    </w:p>
    <w:p>
      <w:pPr>
        <w:ind w:right="180" w:firstLine="626"/>
        <w:spacing w:after="0" w:line="262" w:lineRule="auto"/>
        <w:tabs>
          <w:tab w:leader="none" w:pos="1023"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Participant shall cease to participate in the Plan upon the earlier of when such Participant: (a) ceases to be an employee of the Company or any of its Affiliates or (b) is no longer an Eligible Executive. Notwithstanding the foregoing, a Participant who is entitled, as a result of ceasing to be an employee of the Company or any of its Affiliates under the circumstances set forth in Article III hereof, to the payment of benefits under the Plan shall remain a Participant in the Plan until any amounts payable under the Plan have been paid to the Participant.</w:t>
      </w:r>
    </w:p>
    <w:p>
      <w:pPr>
        <w:spacing w:after="0" w:line="70" w:lineRule="exact"/>
        <w:rPr>
          <w:sz w:val="20"/>
          <w:szCs w:val="20"/>
          <w:color w:val="auto"/>
        </w:rPr>
      </w:pPr>
    </w:p>
    <w:p>
      <w:pPr>
        <w:ind w:right="620" w:firstLine="622"/>
        <w:spacing w:after="0" w:line="276" w:lineRule="auto"/>
        <w:rPr>
          <w:sz w:val="20"/>
          <w:szCs w:val="20"/>
          <w:color w:val="auto"/>
        </w:rPr>
      </w:pPr>
      <w:r>
        <w:rPr>
          <w:rFonts w:ascii="Times New Roman" w:cs="Times New Roman" w:eastAsia="Times New Roman" w:hAnsi="Times New Roman"/>
          <w:sz w:val="19"/>
          <w:szCs w:val="19"/>
          <w:u w:val="single" w:color="auto"/>
          <w:color w:val="auto"/>
        </w:rPr>
        <w:t>Section 2.02 Conditions</w:t>
      </w:r>
      <w:r>
        <w:rPr>
          <w:rFonts w:ascii="Times New Roman" w:cs="Times New Roman" w:eastAsia="Times New Roman" w:hAnsi="Times New Roman"/>
          <w:sz w:val="19"/>
          <w:szCs w:val="19"/>
          <w:color w:val="auto"/>
        </w:rPr>
        <w:t>. As a condition precedent to the entitlement of each Participant to the payment and benefits under Sections 3.01(a), (b), (c), (d) and (e) and 3.02 hereof, the Participant agrees to each of the following:</w:t>
      </w:r>
    </w:p>
    <w:p>
      <w:pPr>
        <w:spacing w:after="0" w:line="55" w:lineRule="exact"/>
        <w:rPr>
          <w:sz w:val="20"/>
          <w:szCs w:val="20"/>
          <w:color w:val="auto"/>
        </w:rPr>
      </w:pPr>
    </w:p>
    <w:p>
      <w:pPr>
        <w:ind w:right="20" w:firstLine="626"/>
        <w:spacing w:after="0" w:line="262" w:lineRule="auto"/>
        <w:tabs>
          <w:tab w:leader="none" w:pos="10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shall have executed a general release of claims in a form satisfactory to and provided by the Company (the “Release”) which will include noncompetition, non-solicitation and other covenants determined by the Company, the Participant has not revoked the Release within any applicable revocation period, and the Release has become effective and irrevocable in accordance with its terms and with applicable law by the deadline set forth in the Release (which shall not exceed sixty (60) days following the Date of Termination).</w:t>
      </w:r>
    </w:p>
    <w:p>
      <w:pPr>
        <w:spacing w:after="0" w:line="57" w:lineRule="exact"/>
        <w:rPr>
          <w:rFonts w:ascii="Times New Roman" w:cs="Times New Roman" w:eastAsia="Times New Roman" w:hAnsi="Times New Roman"/>
          <w:sz w:val="19"/>
          <w:szCs w:val="19"/>
          <w:color w:val="auto"/>
        </w:rPr>
      </w:pPr>
    </w:p>
    <w:p>
      <w:pPr>
        <w:ind w:firstLine="626"/>
        <w:spacing w:after="0" w:line="255" w:lineRule="auto"/>
        <w:tabs>
          <w:tab w:leader="none" w:pos="103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breach by the Participant of any Post-Employment Restrictive Covenants and other Obligations, any rights of such Participant to receive the payments and benefits pursuant to Sections 3.01(a), (b), (c), (d) and (e) and 3.02 hereof shall be suspended (and any payments previously made thereunder may be clawed back pursuant to Section 7.05 hereof). The Participant agrees that suspension of the payments and benefits under Sections 3.01(a), (b), (c), (d) and (e) and 3.02 hereof as a consequence of the Participant’s breach of the Post-Employment Restrictive Covenants and other Obligations does not in any way limit the ability of the Company or any Affiliate to pursue injunctive relief or to seek additional damages with respect to the Participant’s breach of such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further, that, notwithstanding anything to the contrary herein, any penalty arising from the Participant’s obligation to engage in or to refrain from engaging in any activities that are set forth in the Equity Plan or any applicable Equity Award agreement shall be governed by the provisions of such Equity Plan or Equity Award agreement.</w:t>
      </w:r>
    </w:p>
    <w:p>
      <w:pPr>
        <w:spacing w:after="0" w:line="75" w:lineRule="exact"/>
        <w:rPr>
          <w:sz w:val="20"/>
          <w:szCs w:val="20"/>
          <w:color w:val="auto"/>
        </w:rPr>
      </w:pPr>
    </w:p>
    <w:p>
      <w:pPr>
        <w:ind w:right="60" w:firstLine="622"/>
        <w:spacing w:after="0" w:line="257" w:lineRule="auto"/>
        <w:rPr>
          <w:sz w:val="20"/>
          <w:szCs w:val="20"/>
          <w:color w:val="auto"/>
        </w:rPr>
      </w:pP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The Plan shall supersede and replace in their entirety any severance benefits to which the Participant would otherwise be entitled under the Participant’s Individual Agreement, or any general severance policy or plan maintained by the Company or an Affiliate that provides for severance benefits (unless such agreement, policy or plan expressly provides for severance benefits to be in addition to those provided under the Plan), but shall not supersede or replace any benefits due to the Participant under the Participant’s Equity Award agreements. For the avoidance of doubt, the Amended and Restated NCR Corporation Executive Severance Plan and the Amended and Restated NCR Corporation Change in Control Severance Plan were terminated in March 2024 and have no further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40"/>
          </w:cols>
          <w:pgMar w:left="320" w:top="1359" w:right="33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TERMINATION BENEFITS</w:t>
      </w:r>
    </w:p>
    <w:p>
      <w:pPr>
        <w:spacing w:after="0" w:line="219" w:lineRule="exact"/>
        <w:rPr>
          <w:sz w:val="20"/>
          <w:szCs w:val="20"/>
          <w:color w:val="auto"/>
        </w:rPr>
      </w:pPr>
    </w:p>
    <w:p>
      <w:pPr>
        <w:jc w:val="both"/>
        <w:ind w:right="460" w:firstLine="622"/>
        <w:spacing w:after="0" w:line="266" w:lineRule="auto"/>
        <w:rPr>
          <w:sz w:val="20"/>
          <w:szCs w:val="20"/>
          <w:color w:val="auto"/>
        </w:rPr>
      </w:pPr>
      <w:r>
        <w:rPr>
          <w:rFonts w:ascii="Times New Roman" w:cs="Times New Roman" w:eastAsia="Times New Roman" w:hAnsi="Times New Roman"/>
          <w:sz w:val="19"/>
          <w:szCs w:val="19"/>
          <w:u w:val="single" w:color="auto"/>
          <w:color w:val="auto"/>
        </w:rPr>
        <w:t>Section 3.01 Qualifying Termination</w:t>
      </w:r>
      <w:r>
        <w:rPr>
          <w:rFonts w:ascii="Times New Roman" w:cs="Times New Roman" w:eastAsia="Times New Roman" w:hAnsi="Times New Roman"/>
          <w:sz w:val="19"/>
          <w:szCs w:val="19"/>
          <w:color w:val="auto"/>
        </w:rPr>
        <w:t>. If the employment of a Participant terminates as a result of a Qualifying Termination, then the Participant shall be entitled to the following payments and benefits, which shall be payable in accordance with Article IV hereof to the extent applicable:</w:t>
      </w:r>
    </w:p>
    <w:p>
      <w:pPr>
        <w:spacing w:after="0" w:line="64" w:lineRule="exact"/>
        <w:rPr>
          <w:sz w:val="20"/>
          <w:szCs w:val="20"/>
          <w:color w:val="auto"/>
        </w:rPr>
      </w:pPr>
    </w:p>
    <w:p>
      <w:pPr>
        <w:ind w:right="140" w:firstLine="626"/>
        <w:spacing w:after="0" w:line="266" w:lineRule="auto"/>
        <w:tabs>
          <w:tab w:leader="none" w:pos="1023"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Unpaid Bonus</w:t>
      </w:r>
      <w:r>
        <w:rPr>
          <w:rFonts w:ascii="Times New Roman" w:cs="Times New Roman" w:eastAsia="Times New Roman" w:hAnsi="Times New Roman"/>
          <w:sz w:val="19"/>
          <w:szCs w:val="19"/>
          <w:color w:val="auto"/>
        </w:rPr>
        <w:t>. A lump-sum cash amount equal to any accrued but unpaid annual Bonus that was determined to be payable for the immediately preceding year based on actual performance attainment and that the Participant would have received had the Participant remained employed through the date such Bonuses are paid for the year of the Participant’s termination;</w:t>
      </w:r>
    </w:p>
    <w:p>
      <w:pPr>
        <w:spacing w:after="0" w:line="64" w:lineRule="exact"/>
        <w:rPr>
          <w:rFonts w:ascii="Times New Roman" w:cs="Times New Roman" w:eastAsia="Times New Roman" w:hAnsi="Times New Roman"/>
          <w:sz w:val="19"/>
          <w:szCs w:val="19"/>
          <w:color w:val="auto"/>
        </w:rPr>
      </w:pPr>
    </w:p>
    <w:p>
      <w:pPr>
        <w:ind w:right="20" w:firstLine="626"/>
        <w:spacing w:after="0" w:line="304" w:lineRule="auto"/>
        <w:tabs>
          <w:tab w:leader="none" w:pos="10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Prorated Target Bonus</w:t>
      </w:r>
      <w:r>
        <w:rPr>
          <w:rFonts w:ascii="Times New Roman" w:cs="Times New Roman" w:eastAsia="Times New Roman" w:hAnsi="Times New Roman"/>
          <w:sz w:val="18"/>
          <w:szCs w:val="18"/>
          <w:color w:val="auto"/>
        </w:rPr>
        <w:t>. A lump-sum cash amount equal to the prorated portion of the Participant’s Target Bonus for the year of termination (prorated based on the Participant’s days of service during the applicable annual performance period through the Date of Termination);</w:t>
      </w:r>
    </w:p>
    <w:p>
      <w:pPr>
        <w:spacing w:after="0" w:line="33" w:lineRule="exact"/>
        <w:rPr>
          <w:rFonts w:ascii="Times New Roman" w:cs="Times New Roman" w:eastAsia="Times New Roman" w:hAnsi="Times New Roman"/>
          <w:sz w:val="18"/>
          <w:szCs w:val="18"/>
          <w:color w:val="auto"/>
        </w:rPr>
      </w:pPr>
    </w:p>
    <w:p>
      <w:pPr>
        <w:jc w:val="both"/>
        <w:ind w:right="840" w:firstLine="626"/>
        <w:spacing w:after="0" w:line="290" w:lineRule="auto"/>
        <w:tabs>
          <w:tab w:leader="none" w:pos="1023"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Severance Payments</w:t>
      </w:r>
      <w:r>
        <w:rPr>
          <w:rFonts w:ascii="Times New Roman" w:cs="Times New Roman" w:eastAsia="Times New Roman" w:hAnsi="Times New Roman"/>
          <w:sz w:val="19"/>
          <w:szCs w:val="19"/>
          <w:color w:val="auto"/>
        </w:rPr>
        <w:t>. Cash payments in an aggregate amount equal to the Applicable Percentage of the sum of (i) the Participant’s Base Salary and (ii) the Participant’s Target Bonus, in each case, as in effect immediately prior to the Date of Termination;</w:t>
      </w:r>
    </w:p>
    <w:p>
      <w:pPr>
        <w:spacing w:after="0" w:line="29" w:lineRule="exact"/>
        <w:rPr>
          <w:rFonts w:ascii="Times New Roman" w:cs="Times New Roman" w:eastAsia="Times New Roman" w:hAnsi="Times New Roman"/>
          <w:sz w:val="19"/>
          <w:szCs w:val="19"/>
          <w:color w:val="auto"/>
        </w:rPr>
      </w:pPr>
    </w:p>
    <w:p>
      <w:pPr>
        <w:jc w:val="both"/>
        <w:ind w:right="100" w:firstLine="626"/>
        <w:spacing w:after="0" w:line="257" w:lineRule="auto"/>
        <w:tabs>
          <w:tab w:leader="none" w:pos="10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Company-Paid COBRA</w:t>
      </w:r>
      <w:r>
        <w:rPr>
          <w:rFonts w:ascii="Times New Roman" w:cs="Times New Roman" w:eastAsia="Times New Roman" w:hAnsi="Times New Roman"/>
          <w:sz w:val="19"/>
          <w:szCs w:val="19"/>
          <w:color w:val="auto"/>
        </w:rPr>
        <w:t>. The Company shall pay the premiums for the Participant and his or her qualified beneficiaries for COBRA medical, dental and vision coverage until the earlier of: (i) eighteen (18) months following the Date of Termination, or (ii) when the Participant is no longer eligible for COBRA coverage. The benefits provided pursuant to this Section 3.01(d) shall be concurrent coverage for purposes of</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COBRA.</w:t>
      </w:r>
    </w:p>
    <w:p>
      <w:pPr>
        <w:spacing w:after="0" w:line="102" w:lineRule="exact"/>
        <w:rPr>
          <w:rFonts w:ascii="Times New Roman" w:cs="Times New Roman" w:eastAsia="Times New Roman" w:hAnsi="Times New Roman"/>
          <w:sz w:val="19"/>
          <w:szCs w:val="19"/>
          <w:color w:val="auto"/>
        </w:rPr>
      </w:pPr>
    </w:p>
    <w:p>
      <w:pPr>
        <w:ind w:right="80" w:firstLine="626"/>
        <w:spacing w:after="0" w:line="266" w:lineRule="auto"/>
        <w:tabs>
          <w:tab w:leader="none" w:pos="1023"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Outplacement Benefits</w:t>
      </w:r>
      <w:r>
        <w:rPr>
          <w:rFonts w:ascii="Times New Roman" w:cs="Times New Roman" w:eastAsia="Times New Roman" w:hAnsi="Times New Roman"/>
          <w:sz w:val="19"/>
          <w:szCs w:val="19"/>
          <w:color w:val="auto"/>
        </w:rPr>
        <w:t>. The Company shall provide the Participant executive outplacement services not to exceed $50,000 at the Company’s expense, for a period of one (1) year following the Date of Termination, using a reputable provider selected by the Participant with the Company’s approval (which shall not be unreasonably withheld).</w:t>
      </w:r>
    </w:p>
    <w:p>
      <w:pPr>
        <w:spacing w:after="0" w:line="51"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9"/>
          <w:szCs w:val="19"/>
          <w:u w:val="single" w:color="auto"/>
          <w:color w:val="auto"/>
        </w:rPr>
        <w:t>Section 3.02 Change in Control</w:t>
      </w:r>
      <w:r>
        <w:rPr>
          <w:rFonts w:ascii="Times New Roman" w:cs="Times New Roman" w:eastAsia="Times New Roman" w:hAnsi="Times New Roman"/>
          <w:sz w:val="19"/>
          <w:szCs w:val="19"/>
          <w:color w:val="auto"/>
        </w:rPr>
        <w:t xml:space="preserve">. Notwithstanding the foregoing, if, within the six (6) month period prior to, or the two (2) year period following a Change in Control, the employment of a Participant terminates as a result of a Qualifying Termination; then, the Participant shall be entitled to the payments and benefits set forth in Section 3.01 hereof, except that (i) the reference to Applicable Percentage in Section 3.01(c) hereof shall be replaced with the CIC Applicable Percentage and (ii) Base Salary and Target Bonus shall each be determined using the </w:t>
      </w:r>
      <w:r>
        <w:rPr>
          <w:rFonts w:ascii="Times New Roman" w:cs="Times New Roman" w:eastAsia="Times New Roman" w:hAnsi="Times New Roman"/>
          <w:sz w:val="19"/>
          <w:szCs w:val="19"/>
          <w:i w:val="1"/>
          <w:iCs w:val="1"/>
          <w:color w:val="auto"/>
        </w:rPr>
        <w:t>greater of</w:t>
      </w:r>
      <w:r>
        <w:rPr>
          <w:rFonts w:ascii="Times New Roman" w:cs="Times New Roman" w:eastAsia="Times New Roman" w:hAnsi="Times New Roman"/>
          <w:sz w:val="19"/>
          <w:szCs w:val="19"/>
          <w:color w:val="auto"/>
        </w:rPr>
        <w:t xml:space="preserve"> Base Salary and Target Bonus on the date of termination and Base Salary and Target Bonus, respectively, in effect immediately prior to the Change in Control.</w:t>
      </w:r>
    </w:p>
    <w:p>
      <w:pPr>
        <w:spacing w:after="0" w:line="74" w:lineRule="exact"/>
        <w:rPr>
          <w:sz w:val="20"/>
          <w:szCs w:val="20"/>
          <w:color w:val="auto"/>
        </w:rPr>
      </w:pPr>
    </w:p>
    <w:p>
      <w:pPr>
        <w:ind w:firstLine="622"/>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3.03 Other Benefits Payable</w:t>
      </w:r>
      <w:r>
        <w:rPr>
          <w:rFonts w:ascii="Times New Roman" w:cs="Times New Roman" w:eastAsia="Times New Roman" w:hAnsi="Times New Roman"/>
          <w:sz w:val="19"/>
          <w:szCs w:val="19"/>
          <w:color w:val="auto"/>
        </w:rPr>
        <w:t>. The benefits payable pursuant to Sections 3.01 and 3.02 hereof shall be provided in addition to, and not in lieu of, all other accrued or vested or earned but deferred compensation, rights, options or other benefits which may be owed to a Participant upon or following the Date of Termination, including but not limited to accrued salary, vacation or sick pay (if and where applicable, but not where Company policy does not provide for such payments), reimbursement for business expenses previously incurred, amounts or benefits properly payable under any bonus or other compensation plans, any life insurance plan, health plan, disability plan or similar or successor plan. Equity Awards will be treated as specified in the Equity Plan and any Equity Award agreement thereunder, and this Plan shall not be construed to modify or supersede any such plan either expressly or by implication.</w:t>
      </w:r>
    </w:p>
    <w:p>
      <w:pPr>
        <w:spacing w:after="0" w:line="80" w:lineRule="exact"/>
        <w:rPr>
          <w:sz w:val="20"/>
          <w:szCs w:val="20"/>
          <w:color w:val="auto"/>
        </w:rPr>
      </w:pPr>
    </w:p>
    <w:p>
      <w:pPr>
        <w:ind w:right="680" w:firstLine="622"/>
        <w:spacing w:after="0" w:line="290" w:lineRule="auto"/>
        <w:rPr>
          <w:sz w:val="20"/>
          <w:szCs w:val="20"/>
          <w:color w:val="auto"/>
        </w:rPr>
      </w:pPr>
      <w:r>
        <w:rPr>
          <w:rFonts w:ascii="Times New Roman" w:cs="Times New Roman" w:eastAsia="Times New Roman" w:hAnsi="Times New Roman"/>
          <w:sz w:val="19"/>
          <w:szCs w:val="19"/>
          <w:u w:val="single" w:color="auto"/>
          <w:color w:val="auto"/>
        </w:rPr>
        <w:t>Section 3.04 Voluntary Termination or Termination for Cause</w:t>
      </w:r>
      <w:r>
        <w:rPr>
          <w:rFonts w:ascii="Times New Roman" w:cs="Times New Roman" w:eastAsia="Times New Roman" w:hAnsi="Times New Roman"/>
          <w:sz w:val="19"/>
          <w:szCs w:val="19"/>
          <w:color w:val="auto"/>
        </w:rPr>
        <w:t>. For the avoidance of doubt, if the Participant voluntarily terminates employment other than for Good Reason, or the employment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00"/>
          </w:cols>
          <w:pgMar w:left="320" w:top="1359"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color w:val="auto"/>
        </w:rPr>
        <w:t>Participant is terminated by the Company or an Affiliate for Cause, there will be no amounts payable to the Participant under the Plan.</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AND TIME OF PAYMENT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Timing of Payments and Benefits</w:t>
      </w:r>
    </w:p>
    <w:p>
      <w:pPr>
        <w:spacing w:after="0" w:line="106" w:lineRule="exact"/>
        <w:rPr>
          <w:sz w:val="20"/>
          <w:szCs w:val="20"/>
          <w:color w:val="auto"/>
        </w:rPr>
      </w:pPr>
    </w:p>
    <w:p>
      <w:pPr>
        <w:ind w:right="100" w:firstLine="626"/>
        <w:spacing w:after="0" w:line="261" w:lineRule="auto"/>
        <w:tabs>
          <w:tab w:leader="none" w:pos="102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Sections 4.01(b) and 4.01(c) hereof, the cash payments contemplated under Section 3.01(c) hereof shall be paid in equal installments in accordance with normal Company payroll practices over the Applicable Period, with payments commencing on or about the first payroll date following the sixtieth (60th) day following the Date of Termination in accordance with the terms of Section 4.02 hereof, provided that the first such payment shall consist of all payments that otherwise would have been made to the Participant pursuant to this Section between the Date of Termination and the sixtieth (60th) day following the Date of Termination.</w:t>
      </w:r>
    </w:p>
    <w:p>
      <w:pPr>
        <w:spacing w:after="0" w:line="56" w:lineRule="exact"/>
        <w:rPr>
          <w:rFonts w:ascii="Times New Roman" w:cs="Times New Roman" w:eastAsia="Times New Roman" w:hAnsi="Times New Roman"/>
          <w:sz w:val="19"/>
          <w:szCs w:val="19"/>
          <w:color w:val="auto"/>
        </w:rPr>
      </w:pPr>
    </w:p>
    <w:p>
      <w:pPr>
        <w:ind w:firstLine="626"/>
        <w:spacing w:after="0" w:line="257" w:lineRule="auto"/>
        <w:tabs>
          <w:tab w:leader="none" w:pos="103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within the six (6) month period prior to or the two (2) year period following a Change in Control, the employment of a Participant terminates as a result of a Qualifying Termination, then the cash payments contemplated under Sections 3.01(c) and 3.02 hereof shall be paid in one lump-sum payment within sixty (60) days following the Date of Termination. Notwithstanding the foregoing, if such Date of Termination occurs (i) within the two (2) year period following a Change in Control that does not constitute a change in control event under Section 409A of the Code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or (ii) within the six (6) month period prior to a Change in Control, then, to extent required to avoid accelerated taxation and/or tax penalties under Section 409A, such Participant shall receive the portion of the total payments due pursuant this Section that is equal to the amount set forth in Section 3.01(c) hereof (without regard to Section 3.02 hereof) in installments pursuant to the payment schedule set forth in Section 4.01(a) hereof.</w:t>
      </w:r>
    </w:p>
    <w:p>
      <w:pPr>
        <w:spacing w:after="0" w:line="60" w:lineRule="exact"/>
        <w:rPr>
          <w:rFonts w:ascii="Times New Roman" w:cs="Times New Roman" w:eastAsia="Times New Roman" w:hAnsi="Times New Roman"/>
          <w:sz w:val="19"/>
          <w:szCs w:val="19"/>
          <w:color w:val="auto"/>
        </w:rPr>
      </w:pPr>
    </w:p>
    <w:p>
      <w:pPr>
        <w:jc w:val="both"/>
        <w:ind w:right="180" w:firstLine="626"/>
        <w:spacing w:after="0" w:line="257" w:lineRule="auto"/>
        <w:tabs>
          <w:tab w:leader="none" w:pos="10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cash payments contemplated under Sections 3.01(a) and 3.01(b) hereof, as applicable, shall be paid at such time as the relevant annual Bonus payment is paid to employees of the Company (or its successor following a Change in Control), but in no event more than 90 days following the end of the fiscal year (provided that, for any Participant who is a U.S. taxpayer, to the extent required to avoid accelerated taxation and/or tax penalties under Section 409A, such payment shall be made no later than the date that is two and a half months following the end of the applicable fiscal year to which such Bonus relates).</w:t>
      </w:r>
    </w:p>
    <w:p>
      <w:pPr>
        <w:spacing w:after="0" w:line="75" w:lineRule="exact"/>
        <w:rPr>
          <w:sz w:val="20"/>
          <w:szCs w:val="20"/>
          <w:color w:val="auto"/>
        </w:rPr>
      </w:pPr>
    </w:p>
    <w:p>
      <w:pPr>
        <w:ind w:right="40" w:firstLine="622"/>
        <w:spacing w:after="0" w:line="253" w:lineRule="auto"/>
        <w:rPr>
          <w:sz w:val="20"/>
          <w:szCs w:val="20"/>
          <w:color w:val="auto"/>
        </w:rPr>
      </w:pPr>
      <w:r>
        <w:rPr>
          <w:rFonts w:ascii="Times New Roman" w:cs="Times New Roman" w:eastAsia="Times New Roman" w:hAnsi="Times New Roman"/>
          <w:sz w:val="19"/>
          <w:szCs w:val="19"/>
          <w:u w:val="single" w:color="auto"/>
          <w:color w:val="auto"/>
        </w:rPr>
        <w:t>Section 4.02 Section 409A</w:t>
      </w:r>
      <w:r>
        <w:rPr>
          <w:rFonts w:ascii="Times New Roman" w:cs="Times New Roman" w:eastAsia="Times New Roman" w:hAnsi="Times New Roman"/>
          <w:sz w:val="19"/>
          <w:szCs w:val="19"/>
          <w:color w:val="auto"/>
        </w:rPr>
        <w:t>. The intent of the parties is that the payments and benefits under this Plan be exempt from, or comply with, Section 409A, to the extent subject thereto, and accordingly, to the maximum extent permitted, this Plan shall be interpreted and administered to be in compliance therewith. Each amount to be paid or benefit to be provided under this Plan shall be construed as a separate and distinct payment for purposes of Section 409A. Without limiting the foregoing and notwithstanding anything contained herein to the contrary, to the extent required to avoid accelerated taxation and/or tax penalties under Section 409A: (i) the Participant shall not be considered to have terminated employment with the Company for purposes of any payments issued pursuant to this Plan which are subject to Section 409A until such Participant would be considered to have incurred a “separation from service” from the Company within the meaning of Section 409A; (ii) amounts that would otherwise be payable and benefits that would otherwise be provided pursuant to this Plan or any other arrangement between the Participant and the Company during the six (6) month period immediately following such Participant’s separation from service shall instead be paid on the first business day after the date that is six (6) months following such Participant’s separation from service (or, if earlier, such Participant’s date of death); and (iii) amounts reimbursable to the Participant pursuant to this Plan shall be paid to such Participant on or before the last day of the year following the year in which the expense was incurred and the amount of expenses eligible for reimbursement (and in-kind benefits provided to Participant) during one year may not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40"/>
          </w:cols>
          <w:pgMar w:left="320" w:top="1361" w:right="339" w:bottom="1440" w:gutter="0" w:footer="0" w:header="0"/>
        </w:sectPr>
      </w:pPr>
    </w:p>
    <w:bookmarkStart w:id="63" w:name="page64"/>
    <w:bookmarkEnd w:id="63"/>
    <w:p>
      <w:pPr>
        <w:jc w:val="both"/>
        <w:ind w:right="60"/>
        <w:spacing w:after="0" w:line="262" w:lineRule="auto"/>
        <w:rPr>
          <w:sz w:val="20"/>
          <w:szCs w:val="20"/>
          <w:color w:val="auto"/>
        </w:rPr>
      </w:pPr>
      <w:r>
        <w:rPr>
          <w:rFonts w:ascii="Times New Roman" w:cs="Times New Roman" w:eastAsia="Times New Roman" w:hAnsi="Times New Roman"/>
          <w:sz w:val="19"/>
          <w:szCs w:val="19"/>
          <w:color w:val="auto"/>
        </w:rPr>
        <w:t>amounts reimbursable or provided in any subsequent year. The Company makes no representation that any or all of the payments described in this Plan will be exempt from or comply with Section 409A and makes no undertaking to preclude Section 409A from applying to any such payment. Participants shall be solely responsible for the payment of any taxes, penalties, interest or other expenses incurred by such Participants on account of non-compliance with Section 409A.</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AMENDMENT / TERMINATION OF PLAN</w:t>
      </w:r>
    </w:p>
    <w:p>
      <w:pPr>
        <w:spacing w:after="0" w:line="336" w:lineRule="exact"/>
        <w:rPr>
          <w:sz w:val="20"/>
          <w:szCs w:val="20"/>
          <w:color w:val="auto"/>
        </w:rPr>
      </w:pPr>
    </w:p>
    <w:p>
      <w:pPr>
        <w:ind w:right="80" w:firstLine="622"/>
        <w:spacing w:after="0" w:line="264" w:lineRule="auto"/>
        <w:rPr>
          <w:sz w:val="20"/>
          <w:szCs w:val="20"/>
          <w:color w:val="auto"/>
        </w:rPr>
      </w:pP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This Plan may be amended by action of the Board or the Compensation Committee, provided that any amendment that materially and adversely impacts the rights of a then-current Participant under the Plan shall not become effective for a period of twenty-four (24) months without the Participant’s written consent. The Plan may be terminated at any time provided that for any then-current Participant such termination shall not become effective for a period of twenty-four (24) months without the Participant’s written consent. On and after the date a Participant incurs a Qualifying Termination, no Plan amendment may be adopted (included an amendment to terminate the Plan) which would reduce such Participant's benefits. In addition, no Plan amendment (which diminishes Participant benefits) may take effect at any time during the two-year period commencing on the date of a Change in Control.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SECTIONS 280G AND 4999 OF THE CODE</w:t>
      </w:r>
    </w:p>
    <w:p>
      <w:pPr>
        <w:spacing w:after="0" w:line="226" w:lineRule="exact"/>
        <w:rPr>
          <w:sz w:val="20"/>
          <w:szCs w:val="20"/>
          <w:color w:val="auto"/>
        </w:rPr>
      </w:pPr>
    </w:p>
    <w:p>
      <w:pPr>
        <w:ind w:firstLine="622"/>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In the event that the benefits provided for in this Plan (together with any other benefits or amounts) otherwise constitute “parachute payments” within the meaning of Section 280G of the Code and would be subject to the Excise Tax, then the Participant and the Company shall cooperate and use commercially reasonable best efforts to take such actions (subject to the Participant’s consent) as may be necessary to avoid the imposition of the Excise Tax or a loss of deductibility under Section 280G of the Code, which may include, among other actions, the Participant’s agreement to waive the accelerated vesting or lapse of restrictions of any such payments and benefits, or a timing delay of the payments of certain of the Participant’s benefits under this Plan. The Company will engage appropriate advisors in addition to the Accounting Firm (as defined below), at the Company’s expense, to assist with this analysis.</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Section 6.02</w:t>
      </w:r>
    </w:p>
    <w:p>
      <w:pPr>
        <w:spacing w:after="0" w:line="119" w:lineRule="exact"/>
        <w:rPr>
          <w:sz w:val="20"/>
          <w:szCs w:val="20"/>
          <w:color w:val="auto"/>
        </w:rPr>
      </w:pPr>
    </w:p>
    <w:p>
      <w:pPr>
        <w:ind w:firstLine="626"/>
        <w:spacing w:after="0" w:line="254" w:lineRule="auto"/>
        <w:tabs>
          <w:tab w:leader="none" w:pos="102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notwithstanding the process and actions set forth in Section 6.01 hereof, it shall be determined by the Accounting Firm that any Payment to a Participant under this Plan would be subject to the Excise Tax, the Accounting Firm shall determine whether to reduce the aggregate amount of the Payments payable to such Participant under this Plan (the “</w:t>
      </w:r>
      <w:r>
        <w:rPr>
          <w:rFonts w:ascii="Times New Roman" w:cs="Times New Roman" w:eastAsia="Times New Roman" w:hAnsi="Times New Roman"/>
          <w:sz w:val="19"/>
          <w:szCs w:val="19"/>
          <w:u w:val="single" w:color="auto"/>
          <w:color w:val="auto"/>
        </w:rPr>
        <w:t>Plan Payments</w:t>
      </w:r>
      <w:r>
        <w:rPr>
          <w:rFonts w:ascii="Times New Roman" w:cs="Times New Roman" w:eastAsia="Times New Roman" w:hAnsi="Times New Roman"/>
          <w:sz w:val="19"/>
          <w:szCs w:val="19"/>
          <w:color w:val="auto"/>
        </w:rPr>
        <w:t>”) to the Reduced Amount. The Plan Payments shall be reduced to the Reduced Amount only if the Accounting Firm determines that the Participant would have a greater Net After-Tax Benefit if the Participant’s Plan Payments were reduced to the Reduced Amount. If instead the Accounting Firm determines that the Participant would have a greater Net After-Tax Benefit if the Participant’s Plan Payments were not reduced to the Reduced Amount, the Participant shall receive all Plan Payments to which the Participant is entitled under this Plan.</w:t>
      </w:r>
    </w:p>
    <w:p>
      <w:pPr>
        <w:spacing w:after="0" w:line="79" w:lineRule="exact"/>
        <w:rPr>
          <w:rFonts w:ascii="Times New Roman" w:cs="Times New Roman" w:eastAsia="Times New Roman" w:hAnsi="Times New Roman"/>
          <w:sz w:val="19"/>
          <w:szCs w:val="19"/>
          <w:color w:val="auto"/>
        </w:rPr>
      </w:pPr>
    </w:p>
    <w:p>
      <w:pPr>
        <w:ind w:right="400" w:firstLine="626"/>
        <w:spacing w:after="0" w:line="276" w:lineRule="auto"/>
        <w:tabs>
          <w:tab w:leader="none" w:pos="103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Accounting Firm determines that the aggregate Plan Payments otherwise payable to a Participant should be reduced to the Reduced Amount, the Company shall promptly give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180"/>
          </w:cols>
          <w:pgMar w:left="320" w:top="1361" w:right="399" w:bottom="1440" w:gutter="0" w:footer="0" w:header="0"/>
        </w:sectPr>
      </w:pPr>
    </w:p>
    <w:bookmarkStart w:id="64" w:name="page65"/>
    <w:bookmarkEnd w:id="64"/>
    <w:p>
      <w:pPr>
        <w:ind w:right="120"/>
        <w:spacing w:after="0" w:line="257" w:lineRule="auto"/>
        <w:rPr>
          <w:sz w:val="20"/>
          <w:szCs w:val="20"/>
          <w:color w:val="auto"/>
        </w:rPr>
      </w:pPr>
      <w:r>
        <w:rPr>
          <w:rFonts w:ascii="Times New Roman" w:cs="Times New Roman" w:eastAsia="Times New Roman" w:hAnsi="Times New Roman"/>
          <w:sz w:val="19"/>
          <w:szCs w:val="19"/>
          <w:color w:val="auto"/>
        </w:rPr>
        <w:t>notice to that effect and a copy of the detailed calculation thereof. All determinations made by the Accounting Firm under this Article VI hereof shall be binding upon the Company and the Participant and shall be made within fifteen (15) days after a termination of the Participant’s employment. The reduction of the Plan Payments to the Reduced Amount, if applicable, shall be made by first reducing the payments under Section 3.01(c) and 3.02 hereof, and then any payments due under Section 3.01(b) hereof, and then any benefits due under Section 3.01(a) hereof. All fees and expenses of the Accounting Firm shall be borne solely by the Company.</w:t>
      </w:r>
    </w:p>
    <w:p>
      <w:pPr>
        <w:spacing w:after="0" w:line="75" w:lineRule="exact"/>
        <w:rPr>
          <w:sz w:val="20"/>
          <w:szCs w:val="20"/>
          <w:color w:val="auto"/>
        </w:rPr>
      </w:pPr>
    </w:p>
    <w:p>
      <w:pPr>
        <w:ind w:left="1020" w:hanging="394"/>
        <w:spacing w:after="0"/>
        <w:tabs>
          <w:tab w:leader="none" w:pos="10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terms shall have the following meanings for purposes of Article VI hereof.</w:t>
      </w:r>
    </w:p>
    <w:p>
      <w:pPr>
        <w:spacing w:after="0" w:line="118" w:lineRule="exact"/>
        <w:rPr>
          <w:rFonts w:ascii="Times New Roman" w:cs="Times New Roman" w:eastAsia="Times New Roman" w:hAnsi="Times New Roman"/>
          <w:sz w:val="19"/>
          <w:szCs w:val="19"/>
          <w:color w:val="auto"/>
        </w:rPr>
      </w:pPr>
    </w:p>
    <w:p>
      <w:pPr>
        <w:ind w:left="620" w:firstLine="628"/>
        <w:spacing w:after="0" w:line="257" w:lineRule="auto"/>
        <w:tabs>
          <w:tab w:leader="none" w:pos="1469"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Accounting Firm</w:t>
      </w:r>
      <w:r>
        <w:rPr>
          <w:rFonts w:ascii="Times New Roman" w:cs="Times New Roman" w:eastAsia="Times New Roman" w:hAnsi="Times New Roman"/>
          <w:sz w:val="19"/>
          <w:szCs w:val="19"/>
          <w:color w:val="auto"/>
        </w:rPr>
        <w:t>” shall mean the Company’s then current independent outside auditors, or such other nationally recognized certified public accounting firm as may be designated by the Plan Administrator immediately prior to a Change in Control, provided that in the event that the Accounting Firm is serving as the accountant or auditor for the individual, entity or group effecting the Change in Control, the Plan Administrator may appoint another nationally recognized accounting firm to make the determinations required under this Article VI (which accounting firm shall then be referred to as the Accounting Firm hereunder).</w:t>
      </w:r>
    </w:p>
    <w:p>
      <w:pPr>
        <w:spacing w:after="0" w:line="74" w:lineRule="exact"/>
        <w:rPr>
          <w:rFonts w:ascii="Times New Roman" w:cs="Times New Roman" w:eastAsia="Times New Roman" w:hAnsi="Times New Roman"/>
          <w:sz w:val="19"/>
          <w:szCs w:val="19"/>
          <w:color w:val="auto"/>
        </w:rPr>
      </w:pPr>
    </w:p>
    <w:p>
      <w:pPr>
        <w:ind w:left="620" w:right="180" w:firstLine="628"/>
        <w:spacing w:after="0" w:line="276" w:lineRule="auto"/>
        <w:tabs>
          <w:tab w:leader="none" w:pos="1522"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shall mean the excise tax imposed by Section 4999 of the Code, together with any interest or penalties imposed with respect to such excise tax.</w:t>
      </w:r>
    </w:p>
    <w:p>
      <w:pPr>
        <w:spacing w:after="0" w:line="54" w:lineRule="exact"/>
        <w:rPr>
          <w:rFonts w:ascii="Times New Roman" w:cs="Times New Roman" w:eastAsia="Times New Roman" w:hAnsi="Times New Roman"/>
          <w:sz w:val="19"/>
          <w:szCs w:val="19"/>
          <w:color w:val="auto"/>
        </w:rPr>
      </w:pPr>
    </w:p>
    <w:p>
      <w:pPr>
        <w:ind w:left="620" w:right="400" w:firstLine="628"/>
        <w:spacing w:after="0" w:line="266" w:lineRule="auto"/>
        <w:tabs>
          <w:tab w:leader="none" w:pos="157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After-Tax Benefit</w:t>
      </w:r>
      <w:r>
        <w:rPr>
          <w:rFonts w:ascii="Times New Roman" w:cs="Times New Roman" w:eastAsia="Times New Roman" w:hAnsi="Times New Roman"/>
          <w:sz w:val="19"/>
          <w:szCs w:val="19"/>
          <w:color w:val="auto"/>
        </w:rPr>
        <w:t>” shall mean the aggregate Value of all Payments to a Participant, net of all taxes imposed on the Participant with respect thereto under Sections 1 and 4999 of the Code and under applicable state and local laws, as determined by the Accounting Firm.</w:t>
      </w:r>
    </w:p>
    <w:p>
      <w:pPr>
        <w:spacing w:after="0" w:line="64" w:lineRule="exact"/>
        <w:rPr>
          <w:rFonts w:ascii="Times New Roman" w:cs="Times New Roman" w:eastAsia="Times New Roman" w:hAnsi="Times New Roman"/>
          <w:sz w:val="19"/>
          <w:szCs w:val="19"/>
          <w:color w:val="auto"/>
        </w:rPr>
      </w:pPr>
    </w:p>
    <w:p>
      <w:pPr>
        <w:ind w:left="620" w:firstLine="628"/>
        <w:spacing w:after="0" w:line="276" w:lineRule="auto"/>
        <w:tabs>
          <w:tab w:leader="none" w:pos="1564"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shall mean any payment or distribution in the nature of compensation (within the meaning of Section 280G(b)(2) of the Code) to or for the benefit of the Participant, whether paid or payable pursuant to this Plan or otherwise.</w:t>
      </w:r>
    </w:p>
    <w:p>
      <w:pPr>
        <w:spacing w:after="0" w:line="54" w:lineRule="exact"/>
        <w:rPr>
          <w:rFonts w:ascii="Times New Roman" w:cs="Times New Roman" w:eastAsia="Times New Roman" w:hAnsi="Times New Roman"/>
          <w:sz w:val="19"/>
          <w:szCs w:val="19"/>
          <w:color w:val="auto"/>
        </w:rPr>
      </w:pPr>
    </w:p>
    <w:p>
      <w:pPr>
        <w:ind w:left="620" w:right="20" w:firstLine="628"/>
        <w:spacing w:after="0" w:line="276" w:lineRule="auto"/>
        <w:tabs>
          <w:tab w:leader="none" w:pos="1511"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Reduced Amount</w:t>
      </w:r>
      <w:r>
        <w:rPr>
          <w:rFonts w:ascii="Times New Roman" w:cs="Times New Roman" w:eastAsia="Times New Roman" w:hAnsi="Times New Roman"/>
          <w:sz w:val="19"/>
          <w:szCs w:val="19"/>
          <w:color w:val="auto"/>
        </w:rPr>
        <w:t>” shall mean the greatest amount of Plan Payments that can be paid that would not result in the imposition of the Excise Tax upon a Participant if the Accounting Firm determines to reduce Plan Payments pursuant to Article VI hereof.</w:t>
      </w:r>
    </w:p>
    <w:p>
      <w:pPr>
        <w:spacing w:after="0" w:line="54" w:lineRule="exact"/>
        <w:rPr>
          <w:rFonts w:ascii="Times New Roman" w:cs="Times New Roman" w:eastAsia="Times New Roman" w:hAnsi="Times New Roman"/>
          <w:sz w:val="19"/>
          <w:szCs w:val="19"/>
          <w:color w:val="auto"/>
        </w:rPr>
      </w:pPr>
    </w:p>
    <w:p>
      <w:pPr>
        <w:ind w:left="620" w:right="60" w:firstLine="628"/>
        <w:spacing w:after="0" w:line="304" w:lineRule="auto"/>
        <w:tabs>
          <w:tab w:leader="none" w:pos="15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of a Payment shall mean the economic present value of a Payment as of the date of the change of control for purposes of Section 280G of the Code, as determined by the Accounting Firm using the discount rate required by Section 280G(d)(4) of the Code.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MISCELLANEOUS PROVISIONS</w:t>
      </w:r>
    </w:p>
    <w:p>
      <w:pPr>
        <w:spacing w:after="0" w:line="219" w:lineRule="exact"/>
        <w:rPr>
          <w:sz w:val="20"/>
          <w:szCs w:val="20"/>
          <w:color w:val="auto"/>
        </w:rPr>
      </w:pPr>
    </w:p>
    <w:p>
      <w:pPr>
        <w:ind w:right="80" w:firstLine="622"/>
        <w:spacing w:after="0" w:line="257" w:lineRule="auto"/>
        <w:rPr>
          <w:sz w:val="20"/>
          <w:szCs w:val="20"/>
          <w:color w:val="auto"/>
        </w:rPr>
      </w:pPr>
      <w:r>
        <w:rPr>
          <w:rFonts w:ascii="Times New Roman" w:cs="Times New Roman" w:eastAsia="Times New Roman" w:hAnsi="Times New Roman"/>
          <w:sz w:val="19"/>
          <w:szCs w:val="19"/>
          <w:u w:val="single" w:color="auto"/>
          <w:color w:val="auto"/>
        </w:rPr>
        <w:t>Section 7.01 Plan Administration</w:t>
      </w:r>
      <w:r>
        <w:rPr>
          <w:rFonts w:ascii="Times New Roman" w:cs="Times New Roman" w:eastAsia="Times New Roman" w:hAnsi="Times New Roman"/>
          <w:sz w:val="19"/>
          <w:szCs w:val="19"/>
          <w:color w:val="auto"/>
        </w:rPr>
        <w:t>. For purposes of ERISA, the Plan Administrator shall be the “named fiduciary” with respect to the operation and administration of the Plan. The Plan Administrator shall have the discretionary authority to administer and interpret the Plan and decide all questions arising hereunder. Any interpretation or construction of, or determination or action by, the Plan Administrator shall be binding upon any and all parties and persons affected thereby, subject to the exclusive appeal procedure set forth in Section 8.01 hereof. The Plan Administrator may delegate any of its duties hereunder to such person or persons from time to time as it may designate. Any such delegation shall be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20"/>
          </w:cols>
          <w:pgMar w:left="320" w:top="1361" w:right="359" w:bottom="1440" w:gutter="0" w:footer="0" w:header="0"/>
        </w:sectPr>
      </w:pPr>
    </w:p>
    <w:bookmarkStart w:id="65" w:name="page66"/>
    <w:bookmarkEnd w:id="65"/>
    <w:p>
      <w:pPr>
        <w:ind w:right="600" w:firstLine="622"/>
        <w:spacing w:after="0" w:line="290" w:lineRule="auto"/>
        <w:rPr>
          <w:sz w:val="20"/>
          <w:szCs w:val="20"/>
          <w:color w:val="auto"/>
        </w:rPr>
      </w:pPr>
      <w:r>
        <w:rPr>
          <w:rFonts w:ascii="Times New Roman" w:cs="Times New Roman" w:eastAsia="Times New Roman" w:hAnsi="Times New Roman"/>
          <w:sz w:val="19"/>
          <w:szCs w:val="19"/>
          <w:u w:val="single" w:color="auto"/>
          <w:color w:val="auto"/>
        </w:rPr>
        <w:t>Section 7.02 Withholding Taxes</w:t>
      </w:r>
      <w:r>
        <w:rPr>
          <w:rFonts w:ascii="Times New Roman" w:cs="Times New Roman" w:eastAsia="Times New Roman" w:hAnsi="Times New Roman"/>
          <w:sz w:val="19"/>
          <w:szCs w:val="19"/>
          <w:color w:val="auto"/>
        </w:rPr>
        <w:t>. The Company may withhold from all payments due to the Participant (or his beneficiary or estate) hereunder all taxes which, by applicable federal, state, local or other law, the Company is required to withhold therefrom.</w:t>
      </w:r>
    </w:p>
    <w:p>
      <w:pPr>
        <w:spacing w:after="0" w:line="30" w:lineRule="exact"/>
        <w:rPr>
          <w:sz w:val="20"/>
          <w:szCs w:val="20"/>
          <w:color w:val="auto"/>
        </w:rPr>
      </w:pPr>
    </w:p>
    <w:p>
      <w:pPr>
        <w:ind w:right="140" w:firstLine="622"/>
        <w:spacing w:after="0" w:line="266" w:lineRule="auto"/>
        <w:rPr>
          <w:sz w:val="20"/>
          <w:szCs w:val="20"/>
          <w:color w:val="auto"/>
        </w:rPr>
      </w:pPr>
      <w:r>
        <w:rPr>
          <w:rFonts w:ascii="Times New Roman" w:cs="Times New Roman" w:eastAsia="Times New Roman" w:hAnsi="Times New Roman"/>
          <w:sz w:val="19"/>
          <w:szCs w:val="19"/>
          <w:u w:val="single" w:color="auto"/>
          <w:color w:val="auto"/>
        </w:rPr>
        <w:t>Section 7.03 Scope of Benefits under Plan</w:t>
      </w:r>
      <w:r>
        <w:rPr>
          <w:rFonts w:ascii="Times New Roman" w:cs="Times New Roman" w:eastAsia="Times New Roman" w:hAnsi="Times New Roman"/>
          <w:sz w:val="19"/>
          <w:szCs w:val="19"/>
          <w:color w:val="auto"/>
        </w:rPr>
        <w:t>. Nothing in this Plan shall be deemed to entitle the Participant to continued employment with the Company or its Affiliates; provided, however, that notwithstanding anything herein to the contrary, if the Participant is subject to a Qualifying Termination, the Participant shall be subject to all of the benefit and payment provisions of this Plan.</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Section 7.04 Successors’ Binding Obligation.</w:t>
      </w:r>
    </w:p>
    <w:p>
      <w:pPr>
        <w:spacing w:after="0" w:line="119" w:lineRule="exact"/>
        <w:rPr>
          <w:sz w:val="20"/>
          <w:szCs w:val="20"/>
          <w:color w:val="auto"/>
        </w:rPr>
      </w:pPr>
    </w:p>
    <w:p>
      <w:pPr>
        <w:ind w:right="20" w:firstLine="626"/>
        <w:spacing w:after="0" w:line="266" w:lineRule="auto"/>
        <w:tabs>
          <w:tab w:leader="none" w:pos="10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Plan shall not be terminated by any Change in Control or other transaction. In the event of any Change in Control, the provisions of this Plan shall be binding upon the surviving, successor, acquiring or resulting corporation or any person or entity to which the assets of the Company are transferred.</w:t>
      </w:r>
    </w:p>
    <w:p>
      <w:pPr>
        <w:spacing w:after="0" w:line="51" w:lineRule="exact"/>
        <w:rPr>
          <w:rFonts w:ascii="Times New Roman" w:cs="Times New Roman" w:eastAsia="Times New Roman" w:hAnsi="Times New Roman"/>
          <w:sz w:val="19"/>
          <w:szCs w:val="19"/>
          <w:color w:val="auto"/>
        </w:rPr>
      </w:pPr>
    </w:p>
    <w:p>
      <w:pPr>
        <w:ind w:firstLine="626"/>
        <w:spacing w:after="0" w:line="273" w:lineRule="auto"/>
        <w:tabs>
          <w:tab w:leader="none" w:pos="103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that concurrently with a Change in Control or other transaction, it will cause any surviving, successor, acquiring or resulting corporation or transferee unconditionally to assume by written instrument delivered to the Participant (or his beneficiary or estate) all of the obligations of the Company hereunder.</w:t>
      </w:r>
    </w:p>
    <w:p>
      <w:pPr>
        <w:spacing w:after="0" w:line="45" w:lineRule="exact"/>
        <w:rPr>
          <w:rFonts w:ascii="Times New Roman" w:cs="Times New Roman" w:eastAsia="Times New Roman" w:hAnsi="Times New Roman"/>
          <w:sz w:val="19"/>
          <w:szCs w:val="19"/>
          <w:color w:val="auto"/>
        </w:rPr>
      </w:pPr>
    </w:p>
    <w:p>
      <w:pPr>
        <w:ind w:firstLine="626"/>
        <w:spacing w:after="0" w:line="261" w:lineRule="auto"/>
        <w:tabs>
          <w:tab w:leader="none" w:pos="10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under this Plan shall inure to the benefit of and be enforceable by the Participant’s personal or legal representatives, executors, administrators, successors, heirs, distributees, devisees and legatees. If the Participant shall die while any amounts would be payable to the Participant hereunder had the Participant continued to live, all such amounts, unless otherwise provided herein, shall be paid in accordance with the terms of this Plan to such person or persons appointed in writing by the Participant to receive such amounts or, if no person is so appointed, to the Participant’s estate.</w:t>
      </w:r>
    </w:p>
    <w:p>
      <w:pPr>
        <w:spacing w:after="0" w:line="57" w:lineRule="exact"/>
        <w:rPr>
          <w:sz w:val="20"/>
          <w:szCs w:val="20"/>
          <w:color w:val="auto"/>
        </w:rPr>
      </w:pPr>
    </w:p>
    <w:p>
      <w:pPr>
        <w:ind w:firstLine="622"/>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7.05 Clawback Policy</w:t>
      </w:r>
      <w:r>
        <w:rPr>
          <w:rFonts w:ascii="Times New Roman" w:cs="Times New Roman" w:eastAsia="Times New Roman" w:hAnsi="Times New Roman"/>
          <w:sz w:val="19"/>
          <w:szCs w:val="19"/>
          <w:color w:val="auto"/>
        </w:rPr>
        <w:t>. Any payments and benefits provided for in this Plan which are subject to recovery under any law, government regulation, stock exchange listing requirement or Company policy, will be subject to such deductions and clawback as may be required to be made pursuant to such law, government regulation, stock exchange listing requirement or Company policy (or any policy adopted by the Company pursuant to any such law, government regulation or stock exchange listing requirement), including, without limitation, the NCR Voyix Corporation Clawback Policy, effective December 1, 2023. By participating in this Plan, each Participant knowingly, voluntarily and irrevocably consents to and agrees to be bound by and subject to the terms and conditions of the applicable clawback policies, including that (i) the Participant will return any erroneously awarded compensation that is required to be repaid in accordance with the applicable clawback policies, (ii) the compensation that the Participant receives, has received or may become entitled to receive from the Company is subject to the applicable clawback policies, and the applicable clawback policies may affect such compensation, (iii) the Company is entitled to clawback all or any portion of the cash benefits set forth herein in the event a Participant breaches any Post-Employment Restrictive Covenants and other Obligations; and (iv) the Participant has no right to indemnification, insurance payments or other reimbursement by or from the Company for any compensation that is subject to recoupment and/or forfeiture under the applicable clawback policies.</w:t>
      </w:r>
    </w:p>
    <w:p>
      <w:pPr>
        <w:spacing w:after="0" w:line="65"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7.06 ERISA</w:t>
      </w:r>
      <w:r>
        <w:rPr>
          <w:rFonts w:ascii="Times New Roman" w:cs="Times New Roman" w:eastAsia="Times New Roman" w:hAnsi="Times New Roman"/>
          <w:sz w:val="19"/>
          <w:szCs w:val="19"/>
          <w:color w:val="auto"/>
        </w:rPr>
        <w:t>. The Plan is intended is intended to be “a plan which is unfunded and maintained by an employer primarily for the purpose of providing deferred compensation for a select group of management or highly compensation employees” within the meaning of Sections 201(2), 301(a)(3) and 401(a)(1) of ERISA such that it will be, among other things, exempt from the reporting and disclosure requirements of Part 1 of Title I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20"/>
          </w:cols>
          <w:pgMar w:left="320" w:top="1361"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CLAIMS, INQUIRIES, APPEALS</w:t>
      </w:r>
    </w:p>
    <w:p>
      <w:pPr>
        <w:spacing w:after="0" w:line="219" w:lineRule="exact"/>
        <w:rPr>
          <w:sz w:val="20"/>
          <w:szCs w:val="20"/>
          <w:color w:val="auto"/>
        </w:rPr>
      </w:pPr>
    </w:p>
    <w:p>
      <w:pPr>
        <w:ind w:firstLine="622"/>
        <w:spacing w:after="0" w:line="255" w:lineRule="auto"/>
        <w:rPr>
          <w:sz w:val="20"/>
          <w:szCs w:val="20"/>
          <w:color w:val="auto"/>
        </w:rPr>
      </w:pPr>
      <w:r>
        <w:rPr>
          <w:rFonts w:ascii="Times New Roman" w:cs="Times New Roman" w:eastAsia="Times New Roman" w:hAnsi="Times New Roman"/>
          <w:sz w:val="19"/>
          <w:szCs w:val="19"/>
          <w:u w:val="single" w:color="auto"/>
          <w:color w:val="auto"/>
        </w:rPr>
        <w:t>Section 8.01 Dispute Resolution</w:t>
      </w:r>
      <w:r>
        <w:rPr>
          <w:rFonts w:ascii="Times New Roman" w:cs="Times New Roman" w:eastAsia="Times New Roman" w:hAnsi="Times New Roman"/>
          <w:sz w:val="19"/>
          <w:szCs w:val="19"/>
          <w:color w:val="auto"/>
        </w:rPr>
        <w:t>. If any person eligible to receive benefits under the Plan, or claiming to be so eligible, believes he or she is entitled to benefits in an amount greater than those which he or she has received (a “</w:t>
      </w:r>
      <w:r>
        <w:rPr>
          <w:rFonts w:ascii="Times New Roman" w:cs="Times New Roman" w:eastAsia="Times New Roman" w:hAnsi="Times New Roman"/>
          <w:sz w:val="19"/>
          <w:szCs w:val="19"/>
          <w:u w:val="single" w:color="auto"/>
          <w:color w:val="auto"/>
        </w:rPr>
        <w:t>Claimant</w:t>
      </w:r>
      <w:r>
        <w:rPr>
          <w:rFonts w:ascii="Times New Roman" w:cs="Times New Roman" w:eastAsia="Times New Roman" w:hAnsi="Times New Roman"/>
          <w:sz w:val="19"/>
          <w:szCs w:val="19"/>
          <w:color w:val="auto"/>
        </w:rPr>
        <w:t>”), he or she may file a claim in writing with the Plan Administrator within one hundred and twenty (120) days after the Claimant’s Date of Termination. The Plan Administrator shall review the claim and shall give written notice to the Claimant of the decision within ninety (90) days after the claim is filed, unless special circumstances require an extension of time for processing the claim, in which case a period not to exceed one hundred and eighty (180) days shall apply. If such an extension of time is required, written notice of the extension shall be furnished to the Claimant before the termination of the initial ninety (90)-day period and shall describe the special circumstances requiring the extension, and the date on which a decision is expected to be rendered. If written notice of denial of the claim for benefits is not furnished within the specified time, the claim shall be deemed to be denied.</w:t>
      </w:r>
    </w:p>
    <w:p>
      <w:pPr>
        <w:spacing w:after="0" w:line="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9"/>
          <w:szCs w:val="19"/>
          <w:color w:val="auto"/>
        </w:rPr>
        <w:t>If the claim is denied, the notice shall give the specific reasons for the denial, the pertinent provisions of the Plan on which the denial is based, a description of any additional material or information necessary for the Claimant to perfect the claim and an explanation of why such material or information is necessary, and an explanation of the claim review procedures under the Plan and time limits applicable to such procedures.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Any person who has had a claim for benefits denied by the Plan Administrator in whole or in part shall have the right to request review by the Plan Administrator. Such request must be in writing and must be made within sixty (60) days after such person is advised of the denial of benefits. A request for review must set forth all of the grounds on which it is based, all facts in support of the request and any other matters that the Participant feels are pertinent. The Claimant shall have the right to submit with the request for review any comments, documents, records or other information relating to the Claimant’s claim for benefits. The Claimant shall have the right to be provided with, upon request and free of charge, reasonable access to and copies of all pertinent documents, records and other information that is relevant to the Claimant’s claim for benefits. If written request for review is not received within such sixty- (60) day period, the Claimant shall forfeit his or her right to review.</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The Plan Administrator shall review claims that are appealed, and may hold a hearing if it deems necessary, and shall issue a written notice of the final decision. The review of the denied claim shall take into account all comments, documents, records and other information that the Claimant submitted relating to the claim, without regard to whether such information was submitted or considered in the initial denial of the Claimant’s claim. The Plan Administrator may require the Claimant to submit additional facts, documents or other material as the Plan Administrator may find necessary or appropriate in conducting its review of the claim.</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Plan Administrator shall provide the Claimant with written notice of its decision within sixty (60) days after the Plan Administrator’s receipt of the written claim for review. There may be special circumstances which require an extension of this sixty (60)-day period. In any such case, the Plan Administrator shall notify the Claimant in writing within the sixty (60)-day period and the final decision shall be made no later than one hundred and twenty (120) days after the Plan Administrator’s receipt of the written claim for review. This notice of extension shall describe the special circumstances necessitating the additional time and the date by which the Plan Administrator is to render its decision on review. The Plan Administrator’s decision on the Claimant’s claim for review shall take into account all comments, documents, records and other information submitted by the Claimant relating to the claim, without regard to whether such information was submitted or considered in the initial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40"/>
          </w:cols>
          <w:pgMar w:left="320" w:top="1359" w:right="339" w:bottom="1440" w:gutter="0" w:footer="0" w:header="0"/>
        </w:sectPr>
      </w:pPr>
    </w:p>
    <w:bookmarkStart w:id="67" w:name="page68"/>
    <w:bookmarkEnd w:id="67"/>
    <w:p>
      <w:pPr>
        <w:ind w:right="140"/>
        <w:spacing w:after="0" w:line="275" w:lineRule="auto"/>
        <w:rPr>
          <w:sz w:val="20"/>
          <w:szCs w:val="20"/>
          <w:color w:val="auto"/>
        </w:rPr>
      </w:pPr>
      <w:r>
        <w:rPr>
          <w:rFonts w:ascii="Times New Roman" w:cs="Times New Roman" w:eastAsia="Times New Roman" w:hAnsi="Times New Roman"/>
          <w:sz w:val="18"/>
          <w:szCs w:val="18"/>
          <w:color w:val="auto"/>
        </w:rPr>
        <w:t>determination, shall be communicated to the Claimant in writing and shall clearly state the specific reasons for the decision, specific references to the pertinent Plan provisions on which the decision is based, a statement that the Participant is entitled to receive, upon request and free of charge, reasonable access to, and copies of, the Plan and all documents, records and other information relevant to the Claimant’s claim for benefits and a statement describing the Claimant’s right to bring a civil action under Section 502(a) of ERISA. The decision of the Plan Administrator shall be final and binding upon the Claimant and the Plan Administrator and all other persons involved, subject to the provisions set forth herein.</w:t>
      </w:r>
    </w:p>
    <w:p>
      <w:pPr>
        <w:spacing w:after="0" w:line="59"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9"/>
          <w:szCs w:val="19"/>
          <w:color w:val="auto"/>
        </w:rPr>
        <w:t>The exhaustion of these claims procedures is mandatory for resolving every claim and dispute arising under the Plan. As to such claims and disputes,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 in any such legal action, all explicit and implicit determinations by the Plan Administrator (including, but not limited to, determinations as to whether the claim, or a request for a review of a denied claim, was timely filed) shall be afforded the maximum deference permitted by law.</w:t>
      </w:r>
    </w:p>
    <w:p>
      <w:pPr>
        <w:spacing w:after="0" w:line="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to the extent preempted by the Federal Arbitration Act or ERISA, the Plan shall be interpreted in accordance with the laws of the State of Maryland and applicable federal law. Any controversy or claim related in any way to the Plan that is not resolved by the claims and review procedures described in the preceding paragraphs shall be resolved by binding arbitration governed by the Federal Arbitration Act on a de novo standard pursuant to this paragraph and the then current rules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The arbitration shall be administered by the AAA. Any such arbitration will be confidential, final, and binding to the fullest extent permitted by applicable law. The arbitration shall be held before an arbitrator who is an attorney or former judge or magistrate knowledgeable of employment law. In any arbitration, each party will have the right to be represented by counsel. In any arbitration under this Section 8.01, the arbitrator will have full authority to resolve all issues in dispute, including the arbitrator’s own jurisdiction, whether any dispute must be arbitrated under this Section 8.01, whether this Section 8.01 is void or voidable, and to award compensatory remedies and other remedies permitted by law. The arbitrator’s decision and award may be entered in any court having jurisdiction thereof, and will be the sole and exclusive remedy between the parties to the arbitration regarding any claims, counterclaims, issues, or accountings. The parties to the arbitration hereby submit to the jurisdiction of any state or federal court residing in Fulton County, Georgia for the purpose of enforcement of any arbitral award and waive any objection to (i) personal jurisdiction, (ii) venue, and (iii) service of process. The arbitrator shall not have the power to award punitive or exemplary damages. The arbitrator shall have no jurisdiction or authority to compel any class or representative claim or action, consolidate different arbitration proceedings, or join any other party to an arbitration between the Plan or the Company and the Participant. The Participant shall not have any right or authority to assert or pursue any disputes as a class action or derivative action. A dispute by one participant shall not be grouped or consolidated with a dispute by another participant in a single proceeding. In the event that the prohibition on class arbitration is deemed invalid or unenforceable, then the entire arbitration provision will be null and void and the matter will proceed in federal court. Issues of arbitrability shall be determined in accordance with the federal substantive and procedural laws relating to arbitration. Each party shall bear its own attorneys’ fees associated with the arbitration and other costs and expenses of the arbitration shall be borne as provided by the rules of the American Arbitration Association,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either party is the prevailing party, the other party shall reimburse the prevailing party for reasonable attorneys’ fees and expenses and arbitration expenses incurred in connection with the dispute. By agreeing to arbitration, the Participant is giving up the right to have the Participant’s claim heard in a court of law; however, either party may bring an action in court to compel arbitration under the Plan and to enforce an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40"/>
          </w:cols>
          <w:pgMar w:left="320" w:top="1361" w:right="339" w:bottom="1440" w:gutter="0" w:footer="0" w:header="0"/>
        </w:sectPr>
      </w:pPr>
    </w:p>
    <w:bookmarkStart w:id="68" w:name="page69"/>
    <w:bookmarkEnd w:id="68"/>
    <w:p>
      <w:pPr>
        <w:ind w:right="500"/>
        <w:spacing w:after="0" w:line="266" w:lineRule="auto"/>
        <w:rPr>
          <w:sz w:val="20"/>
          <w:szCs w:val="20"/>
          <w:color w:val="auto"/>
        </w:rPr>
      </w:pPr>
      <w:r>
        <w:rPr>
          <w:rFonts w:ascii="Times New Roman" w:cs="Times New Roman" w:eastAsia="Times New Roman" w:hAnsi="Times New Roman"/>
          <w:sz w:val="19"/>
          <w:szCs w:val="19"/>
          <w:color w:val="auto"/>
        </w:rPr>
        <w:t>award. Nothing in this Section 8.01 will be interpreted to limit any right that the Participant has to file claims for benefits with the Plan Administrator in accordance with the procedures described in the preceding paragraphs or administrative claims or charges with government agencies or to apply for workers’ compensation, short-term disability, or unemployment insurance benefits.</w:t>
      </w:r>
    </w:p>
    <w:p>
      <w:pPr>
        <w:spacing w:after="0" w:line="64"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9"/>
          <w:szCs w:val="19"/>
          <w:u w:val="single" w:color="auto"/>
          <w:color w:val="auto"/>
        </w:rPr>
        <w:t>Section 8.02 Post-Employment Restrictive Covenants and Other Obligations</w:t>
      </w:r>
      <w:r>
        <w:rPr>
          <w:rFonts w:ascii="Times New Roman" w:cs="Times New Roman" w:eastAsia="Times New Roman" w:hAnsi="Times New Roman"/>
          <w:sz w:val="19"/>
          <w:szCs w:val="19"/>
          <w:color w:val="auto"/>
        </w:rPr>
        <w:t>. Notwithstanding the preceding subparagraph, in the event that a Participant breaches any of the Post-Employment Restrictive Covenants and other Obligations (including, but not limited to, those respecting non-competition, non-solicitation, and confidentiality), the Participant acknowledges that the Company will sustain irreparable injury and will not have an adequate remedy at law. As a result, in the event of such a breach the Company may, in addition to any other remedies available to it, bring an action in a court of competent jurisdiction for equitable relief pending appointment of an arbitrator and completion of an arbitration, and in such instance shall not be required to post a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Consumer Sensitive (Confidential)</w:t>
      </w:r>
    </w:p>
    <w:p>
      <w:pPr>
        <w:sectPr>
          <w:pgSz w:w="11900" w:h="16838" w:orient="portrait"/>
          <w:cols w:equalWidth="0" w:num="1">
            <w:col w:w="11200"/>
          </w:cols>
          <w:pgMar w:left="320" w:top="1361" w:right="3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Kelly, certify that:</w:t>
      </w:r>
    </w:p>
    <w:p>
      <w:pPr>
        <w:spacing w:after="0" w:line="90" w:lineRule="exact"/>
        <w:rPr>
          <w:sz w:val="20"/>
          <w:szCs w:val="20"/>
          <w:color w:val="auto"/>
        </w:rPr>
      </w:pPr>
    </w:p>
    <w:p>
      <w:pPr>
        <w:ind w:left="180" w:hanging="176"/>
        <w:spacing w:after="0"/>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p>
      <w:pPr>
        <w:ind w:left="280"/>
        <w:spacing w:after="0"/>
        <w:tabs>
          <w:tab w:leader="none" w:pos="7880" w:val="left"/>
        </w:tabs>
        <w:rPr>
          <w:sz w:val="20"/>
          <w:szCs w:val="20"/>
          <w:color w:val="auto"/>
        </w:rPr>
      </w:pPr>
      <w:r>
        <w:rPr>
          <w:rFonts w:ascii="Times New Roman" w:cs="Times New Roman" w:eastAsia="Times New Roman" w:hAnsi="Times New Roman"/>
          <w:sz w:val="17"/>
          <w:szCs w:val="17"/>
          <w:color w:val="auto"/>
        </w:rPr>
        <w:t>Date: November 5, 2026</w:t>
      </w:r>
      <w:r>
        <w:rPr>
          <w:sz w:val="20"/>
          <w:szCs w:val="20"/>
          <w:color w:val="auto"/>
        </w:rPr>
        <w:tab/>
      </w:r>
      <w:r>
        <w:rPr>
          <w:rFonts w:ascii="Times New Roman" w:cs="Times New Roman" w:eastAsia="Times New Roman" w:hAnsi="Times New Roman"/>
          <w:sz w:val="17"/>
          <w:szCs w:val="17"/>
          <w:color w:val="auto"/>
        </w:rPr>
        <w:t>/s/ James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James Kelly</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94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Webb-Walsh, certify that:</w:t>
      </w:r>
    </w:p>
    <w:p>
      <w:pPr>
        <w:spacing w:after="0" w:line="90" w:lineRule="exact"/>
        <w:rPr>
          <w:sz w:val="20"/>
          <w:szCs w:val="20"/>
          <w:color w:val="auto"/>
        </w:rPr>
      </w:pPr>
    </w:p>
    <w:p>
      <w:pPr>
        <w:ind w:left="180" w:hanging="176"/>
        <w:spacing w:after="0"/>
        <w:tabs>
          <w:tab w:leader="none" w:pos="1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80"/>
        <w:spacing w:after="0"/>
        <w:tabs>
          <w:tab w:leader="none" w:pos="7640" w:val="left"/>
        </w:tabs>
        <w:rPr>
          <w:sz w:val="20"/>
          <w:szCs w:val="20"/>
          <w:color w:val="auto"/>
        </w:rPr>
      </w:pPr>
      <w:r>
        <w:rPr>
          <w:rFonts w:ascii="Times New Roman" w:cs="Times New Roman" w:eastAsia="Times New Roman" w:hAnsi="Times New Roman"/>
          <w:sz w:val="17"/>
          <w:szCs w:val="17"/>
          <w:color w:val="auto"/>
        </w:rPr>
        <w:t>Date: November 5, 2026</w:t>
      </w:r>
      <w:r>
        <w:rPr>
          <w:sz w:val="20"/>
          <w:szCs w:val="20"/>
          <w:color w:val="auto"/>
        </w:rPr>
        <w:tab/>
      </w:r>
      <w:r>
        <w:rPr>
          <w:rFonts w:ascii="Times New Roman" w:cs="Times New Roman" w:eastAsia="Times New Roman" w:hAnsi="Times New Roman"/>
          <w:sz w:val="16"/>
          <w:szCs w:val="16"/>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Brian Webb-Walsh</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949"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0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NCR Voyix Corporation (the “Company”) for the period ending September 30, 2026 as filed with the U.S. Securities and Exchange Commission on the date hereof (the “Report”), each of the undersigned officers of the Company does hereby certify, pursuant to 18 U.S.C. § 1350 (section 906 of the Sarbanes-Oxley Act of 2002), that:</w:t>
      </w:r>
    </w:p>
    <w:p>
      <w:pPr>
        <w:spacing w:after="0" w:line="46" w:lineRule="exact"/>
        <w:rPr>
          <w:sz w:val="20"/>
          <w:szCs w:val="20"/>
          <w:color w:val="auto"/>
        </w:rPr>
      </w:pPr>
    </w:p>
    <w:p>
      <w:pPr>
        <w:ind w:left="780" w:hanging="310"/>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7"/>
          <w:szCs w:val="17"/>
          <w:color w:val="auto"/>
        </w:rPr>
      </w:pPr>
    </w:p>
    <w:p>
      <w:pPr>
        <w:ind w:left="780" w:hanging="310"/>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foregoing certification (i) is given to such officers’ knowledge, based upon such officers’ investigation as such officers reasonably deem appropriate; and</w:t>
      </w:r>
    </w:p>
    <w:p>
      <w:pPr>
        <w:spacing w:after="0" w:line="31" w:lineRule="exact"/>
        <w:rPr>
          <w:sz w:val="20"/>
          <w:szCs w:val="20"/>
          <w:color w:val="auto"/>
        </w:rPr>
      </w:pPr>
    </w:p>
    <w:p>
      <w:pPr>
        <w:ind w:right="380" w:firstLine="4"/>
        <w:spacing w:after="0" w:line="269" w:lineRule="auto"/>
        <w:tabs>
          <w:tab w:leader="none" w:pos="2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being furnished solely pursuant to 18 U.S.C. § 1350 (section 906 of the Sarbanes-Oxley Act of 2002) and is not being filed as part of the Report or as a separate disclosure document.</w:t>
      </w:r>
    </w:p>
    <w:p>
      <w:pPr>
        <w:spacing w:after="0" w:line="200" w:lineRule="exact"/>
        <w:rPr>
          <w:sz w:val="20"/>
          <w:szCs w:val="20"/>
          <w:color w:val="auto"/>
        </w:rPr>
      </w:pP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226"/>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5, 2026</w:t>
            </w:r>
          </w:p>
        </w:tc>
        <w:tc>
          <w:tcPr>
            <w:tcW w:w="56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7"/>
                <w:szCs w:val="17"/>
                <w:color w:val="auto"/>
              </w:rPr>
              <w:t>/s/ James Kelly</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James Kelly</w:t>
            </w:r>
          </w:p>
        </w:tc>
      </w:tr>
      <w:tr>
        <w:trPr>
          <w:trHeight w:val="233"/>
        </w:trPr>
        <w:tc>
          <w:tcPr>
            <w:tcW w:w="53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350"/>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5, 2026</w:t>
            </w:r>
          </w:p>
        </w:tc>
        <w:tc>
          <w:tcPr>
            <w:tcW w:w="56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/s/ Brian Webb-Walsh</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Brian Webb-Walsh</w:t>
            </w:r>
          </w:p>
        </w:tc>
      </w:tr>
      <w:tr>
        <w:trPr>
          <w:trHeight w:val="233"/>
        </w:trPr>
        <w:tc>
          <w:tcPr>
            <w:tcW w:w="53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pacing w:after="0" w:line="383" w:lineRule="exact"/>
        <w:rPr>
          <w:sz w:val="20"/>
          <w:szCs w:val="20"/>
          <w:color w:val="auto"/>
        </w:rPr>
      </w:pPr>
    </w:p>
    <w:p>
      <w:pPr>
        <w:jc w:val="center"/>
        <w:ind w:left="340" w:right="100"/>
        <w:spacing w:after="0" w:line="27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2"/>
    </w:lvl>
  </w:abstractNum>
  <w:abstractNum w:abstractNumId="15">
    <w:nsid w:val="79838CB2"/>
    <w:multiLevelType w:val="hybridMultilevel"/>
    <w:lvl w:ilvl="0">
      <w:lvlJc w:val="left"/>
      <w:lvlText w:val="%1"/>
      <w:numFmt w:val="decimal"/>
      <w:start w:val="101"/>
    </w:lvl>
  </w:abstractNum>
  <w:abstractNum w:abstractNumId="16">
    <w:nsid w:val="4353D0CD"/>
    <w:multiLevelType w:val="hybridMultilevel"/>
    <w:lvl w:ilvl="0">
      <w:lvlJc w:val="left"/>
      <w:lvlText w:val="*"/>
      <w:numFmt w:val="bullet"/>
      <w:start w:val="1"/>
    </w:lvl>
    <w:lvl w:ilvl="1">
      <w:lvlJc w:val="left"/>
      <w:lvlText w:val="%2"/>
      <w:numFmt w:val="decimal"/>
      <w:start w:val="104"/>
    </w:lvl>
  </w:abstractNum>
  <w:abstractNum w:abstractNumId="17">
    <w:nsid w:val="B03E0C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
    <w:nsid w:val="189A769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9">
    <w:nsid w:val="54E49EB4"/>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lowerLetter"/>
      <w:start w:val="21"/>
    </w:lvl>
  </w:abstractNum>
  <w:abstractNum w:abstractNumId="22">
    <w:nsid w:val="836C40E"/>
    <w:multiLevelType w:val="hybridMultilevel"/>
    <w:lvl w:ilvl="0">
      <w:lvlJc w:val="left"/>
      <w:lvlText w:val="(%1)"/>
      <w:numFmt w:val="lowerLetter"/>
      <w:start w:val="27"/>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3"/>
    </w:lvl>
    <w:lvl w:ilvl="1">
      <w:lvlJc w:val="left"/>
      <w:lvlText w:val="(%2)"/>
      <w:numFmt w:val="lowerRoman"/>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2026-11-05T05:38:10Z</dcterms:created>
  <dcterms:modified xsi:type="dcterms:W3CDTF">2026-11-05T05:38:10Z</dcterms:modified>
</cp:coreProperties>
</file>